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F2D" w:rsidRDefault="003D5D40" w:rsidP="00C34F2D">
      <w:pPr>
        <w:spacing w:after="0" w:line="360" w:lineRule="auto"/>
        <w:jc w:val="right"/>
        <w:rPr>
          <w:rFonts w:ascii="Cambria" w:eastAsia="Times New Roman" w:hAnsi="Cambria" w:cs="Times New Roman"/>
          <w:b/>
          <w:bCs/>
          <w:color w:val="4F81BD"/>
          <w:sz w:val="32"/>
          <w:szCs w:val="32"/>
          <w:lang w:eastAsia="es-ES"/>
        </w:rPr>
      </w:pPr>
      <w:r>
        <w:rPr>
          <w:rFonts w:ascii="Cambria" w:eastAsia="Times New Roman" w:hAnsi="Cambria" w:cs="Times New Roman"/>
          <w:b/>
          <w:bCs/>
          <w:color w:val="4F81BD"/>
          <w:sz w:val="32"/>
          <w:szCs w:val="32"/>
          <w:lang w:eastAsia="es-ES"/>
        </w:rPr>
        <w:t>0</w:t>
      </w:r>
      <w:r w:rsidR="00C33068">
        <w:rPr>
          <w:rFonts w:ascii="Cambria" w:eastAsia="Times New Roman" w:hAnsi="Cambria" w:cs="Times New Roman"/>
          <w:b/>
          <w:bCs/>
          <w:color w:val="4F81BD"/>
          <w:sz w:val="32"/>
          <w:szCs w:val="32"/>
          <w:lang w:eastAsia="es-ES"/>
        </w:rPr>
        <w:t>2</w:t>
      </w:r>
      <w:r w:rsidR="00C34F2D">
        <w:rPr>
          <w:rFonts w:ascii="Cambria" w:eastAsia="Times New Roman" w:hAnsi="Cambria" w:cs="Times New Roman"/>
          <w:b/>
          <w:bCs/>
          <w:color w:val="4F81BD"/>
          <w:sz w:val="32"/>
          <w:szCs w:val="32"/>
          <w:lang w:eastAsia="es-ES"/>
        </w:rPr>
        <w:t>/</w:t>
      </w:r>
      <w:r w:rsidR="008A2516">
        <w:rPr>
          <w:rFonts w:ascii="Cambria" w:eastAsia="Times New Roman" w:hAnsi="Cambria" w:cs="Times New Roman"/>
          <w:b/>
          <w:bCs/>
          <w:color w:val="4F81BD"/>
          <w:sz w:val="32"/>
          <w:szCs w:val="32"/>
          <w:lang w:eastAsia="es-ES"/>
        </w:rPr>
        <w:t>12</w:t>
      </w:r>
      <w:r w:rsidR="00C34F2D">
        <w:rPr>
          <w:rFonts w:ascii="Cambria" w:eastAsia="Times New Roman" w:hAnsi="Cambria" w:cs="Times New Roman"/>
          <w:b/>
          <w:bCs/>
          <w:color w:val="4F81BD"/>
          <w:sz w:val="32"/>
          <w:szCs w:val="32"/>
          <w:lang w:eastAsia="es-ES"/>
        </w:rPr>
        <w:t>/2016</w:t>
      </w:r>
    </w:p>
    <w:p w:rsidR="00F73698" w:rsidRDefault="00F73698" w:rsidP="00F73698">
      <w:pPr>
        <w:spacing w:after="0" w:line="240" w:lineRule="auto"/>
        <w:rPr>
          <w:rFonts w:ascii="Times New Roman" w:eastAsia="Times New Roman" w:hAnsi="Times New Roman" w:cs="Times New Roman"/>
          <w:sz w:val="24"/>
          <w:szCs w:val="24"/>
          <w:lang w:eastAsia="es-ES"/>
        </w:rPr>
      </w:pPr>
    </w:p>
    <w:p w:rsidR="008A2516" w:rsidRDefault="008A2516" w:rsidP="008A2516">
      <w:pPr>
        <w:spacing w:after="0" w:line="360" w:lineRule="auto"/>
        <w:jc w:val="center"/>
        <w:rPr>
          <w:rFonts w:ascii="Cambria" w:eastAsia="Times New Roman" w:hAnsi="Cambria" w:cs="Times New Roman"/>
          <w:b/>
          <w:bCs/>
          <w:color w:val="4F81BD"/>
          <w:sz w:val="32"/>
          <w:szCs w:val="32"/>
          <w:lang w:eastAsia="es-ES"/>
        </w:rPr>
      </w:pPr>
      <w:r>
        <w:rPr>
          <w:rFonts w:ascii="Cambria" w:eastAsia="Times New Roman" w:hAnsi="Cambria" w:cs="Times New Roman"/>
          <w:b/>
          <w:bCs/>
          <w:color w:val="4F81BD"/>
          <w:sz w:val="32"/>
          <w:szCs w:val="32"/>
          <w:lang w:eastAsia="es-ES"/>
        </w:rPr>
        <w:t>SECTOR GANADERO,</w:t>
      </w:r>
    </w:p>
    <w:p w:rsidR="00C34F2D" w:rsidRPr="00C535D7" w:rsidRDefault="008A2516" w:rsidP="008A2516">
      <w:pPr>
        <w:spacing w:after="0" w:line="360" w:lineRule="auto"/>
        <w:jc w:val="center"/>
        <w:rPr>
          <w:rFonts w:ascii="Cambria" w:eastAsia="Times New Roman" w:hAnsi="Cambria" w:cs="Times New Roman"/>
          <w:b/>
          <w:bCs/>
          <w:color w:val="4F81BD"/>
          <w:sz w:val="32"/>
          <w:szCs w:val="32"/>
          <w:lang w:eastAsia="es-ES"/>
        </w:rPr>
      </w:pPr>
      <w:r>
        <w:rPr>
          <w:rFonts w:ascii="Cambria" w:eastAsia="Times New Roman" w:hAnsi="Cambria" w:cs="Times New Roman"/>
          <w:b/>
          <w:bCs/>
          <w:color w:val="4F81BD"/>
          <w:sz w:val="32"/>
          <w:szCs w:val="32"/>
          <w:lang w:eastAsia="es-ES"/>
        </w:rPr>
        <w:t xml:space="preserve"> EN LA COMARCA DEL GUADALETÍN</w:t>
      </w:r>
    </w:p>
    <w:p w:rsidR="00C34F2D" w:rsidRDefault="005E4323" w:rsidP="00C34F2D">
      <w:pPr>
        <w:spacing w:after="0" w:line="360" w:lineRule="auto"/>
        <w:jc w:val="both"/>
        <w:rPr>
          <w:rFonts w:ascii="Cambria" w:eastAsia="Times New Roman" w:hAnsi="Cambria" w:cs="Times New Roman"/>
          <w:b/>
          <w:bCs/>
          <w:color w:val="4F81BD"/>
          <w:sz w:val="32"/>
          <w:szCs w:val="32"/>
          <w:lang w:eastAsia="es-ES"/>
        </w:rPr>
      </w:pPr>
      <w:r w:rsidRPr="00C535D7">
        <w:rPr>
          <w:rFonts w:ascii="Cambria" w:eastAsia="Times New Roman" w:hAnsi="Cambria" w:cs="Times New Roman"/>
          <w:b/>
          <w:bCs/>
          <w:noProof/>
          <w:color w:val="4F81BD"/>
          <w:sz w:val="32"/>
          <w:szCs w:val="32"/>
          <w:lang w:eastAsia="es-ES"/>
        </w:rPr>
        <mc:AlternateContent>
          <mc:Choice Requires="wps">
            <w:drawing>
              <wp:anchor distT="4294967295" distB="4294967295" distL="114300" distR="114300" simplePos="0" relativeHeight="251659264" behindDoc="0" locked="0" layoutInCell="1" allowOverlap="1" wp14:anchorId="2677D525" wp14:editId="5E38C634">
                <wp:simplePos x="0" y="0"/>
                <wp:positionH relativeFrom="column">
                  <wp:posOffset>-151130</wp:posOffset>
                </wp:positionH>
                <wp:positionV relativeFrom="paragraph">
                  <wp:posOffset>60325</wp:posOffset>
                </wp:positionV>
                <wp:extent cx="5438775" cy="0"/>
                <wp:effectExtent l="0" t="0" r="9525" b="19050"/>
                <wp:wrapNone/>
                <wp:docPr id="13" name="Conector recto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38775" cy="0"/>
                        </a:xfrm>
                        <a:prstGeom prst="line">
                          <a:avLst/>
                        </a:prstGeom>
                        <a:noFill/>
                        <a:ln w="254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Conector recto 1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1.9pt,4.75pt" to="416.3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" strokecolor="#4a7ebb" strokeweight="2pt">
                <o:lock v:ext="edit" shapetype="f"/>
              </v:line>
            </w:pict>
          </mc:Fallback>
        </mc:AlternateContent>
      </w:r>
    </w:p>
    <w:p w:rsidR="00D77C14" w:rsidRDefault="001C162B" w:rsidP="00DA5D3B">
      <w:pPr>
        <w:pStyle w:val="Prrafodelista"/>
        <w:numPr>
          <w:ilvl w:val="0"/>
          <w:numId w:val="9"/>
        </w:numPr>
        <w:spacing w:after="0" w:line="240" w:lineRule="auto"/>
        <w:jc w:val="both"/>
        <w:rPr>
          <w:rFonts w:eastAsia="Times New Roman" w:cs="Times New Roman"/>
          <w:b/>
          <w:sz w:val="28"/>
          <w:szCs w:val="28"/>
          <w:lang w:eastAsia="es-ES"/>
        </w:rPr>
      </w:pPr>
      <w:r>
        <w:rPr>
          <w:rFonts w:eastAsia="Times New Roman" w:cs="Times New Roman"/>
          <w:b/>
          <w:sz w:val="28"/>
          <w:szCs w:val="28"/>
          <w:lang w:eastAsia="es-ES"/>
        </w:rPr>
        <w:t>Introducción</w:t>
      </w:r>
    </w:p>
    <w:p w:rsidR="00640BD6" w:rsidRDefault="00640BD6" w:rsidP="00640BD6">
      <w:pPr>
        <w:spacing w:after="0" w:line="240" w:lineRule="auto"/>
        <w:jc w:val="both"/>
        <w:rPr>
          <w:rFonts w:eastAsia="Times New Roman" w:cs="Times New Roman"/>
          <w:b/>
          <w:sz w:val="28"/>
          <w:szCs w:val="28"/>
          <w:lang w:eastAsia="es-ES"/>
        </w:rPr>
      </w:pPr>
    </w:p>
    <w:p w:rsidR="007D090D" w:rsidRDefault="007D090D" w:rsidP="007D090D">
      <w:pPr>
        <w:spacing w:after="0" w:line="240" w:lineRule="auto"/>
        <w:jc w:val="both"/>
        <w:rPr>
          <w:rFonts w:eastAsia="Times New Roman" w:cs="Times New Roman"/>
          <w:sz w:val="28"/>
          <w:szCs w:val="28"/>
          <w:lang w:eastAsia="es-ES"/>
        </w:rPr>
      </w:pPr>
      <w:r>
        <w:rPr>
          <w:rFonts w:eastAsia="Times New Roman" w:cs="Times New Roman"/>
          <w:sz w:val="28"/>
          <w:szCs w:val="28"/>
          <w:lang w:eastAsia="es-ES"/>
        </w:rPr>
        <w:t xml:space="preserve">La actividad agraria tiene una participación relativa muy importante en la Región de Murcia, territorio en el que históricamente existe una marcada especialización en el sector primario. Así, las actividades asociadas a este sector generaban en 2015 un valor añadido de 1.184 millones de euros, cifra que representa 4,3% del PIB de la Región, un porcentaje que casi duplica al que se da en el ámbito nacional (2,3%). </w:t>
      </w:r>
    </w:p>
    <w:p w:rsidR="007D090D" w:rsidRDefault="007D090D" w:rsidP="007D090D">
      <w:pPr>
        <w:spacing w:after="0" w:line="240" w:lineRule="auto"/>
        <w:jc w:val="both"/>
        <w:rPr>
          <w:rFonts w:eastAsia="Times New Roman" w:cs="Times New Roman"/>
          <w:sz w:val="28"/>
          <w:szCs w:val="28"/>
          <w:lang w:eastAsia="es-ES"/>
        </w:rPr>
      </w:pPr>
    </w:p>
    <w:p w:rsidR="007D090D" w:rsidRDefault="007D090D" w:rsidP="007D090D">
      <w:pPr>
        <w:spacing w:after="0" w:line="240" w:lineRule="auto"/>
        <w:jc w:val="both"/>
        <w:rPr>
          <w:rFonts w:eastAsia="Times New Roman" w:cs="Times New Roman"/>
          <w:sz w:val="28"/>
          <w:szCs w:val="28"/>
          <w:lang w:eastAsia="es-ES"/>
        </w:rPr>
      </w:pPr>
      <w:r w:rsidRPr="007D090D">
        <w:rPr>
          <w:noProof/>
          <w:lang w:eastAsia="es-ES"/>
        </w:rPr>
        <w:drawing>
          <wp:inline distT="0" distB="0" distL="0" distR="0" wp14:anchorId="5EE32BC0" wp14:editId="4C125AC3">
            <wp:extent cx="5400040" cy="410409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4104091"/>
                    </a:xfrm>
                    <a:prstGeom prst="rect">
                      <a:avLst/>
                    </a:prstGeom>
                    <a:noFill/>
                    <a:ln>
                      <a:noFill/>
                    </a:ln>
                  </pic:spPr>
                </pic:pic>
              </a:graphicData>
            </a:graphic>
          </wp:inline>
        </w:drawing>
      </w:r>
    </w:p>
    <w:p w:rsidR="007D090D" w:rsidRPr="00A90ED6" w:rsidRDefault="00A90ED6" w:rsidP="007D090D">
      <w:pPr>
        <w:spacing w:after="0" w:line="240" w:lineRule="auto"/>
        <w:jc w:val="both"/>
        <w:rPr>
          <w:rFonts w:eastAsia="Times New Roman" w:cs="Times New Roman"/>
          <w:i/>
          <w:szCs w:val="28"/>
          <w:lang w:eastAsia="es-ES"/>
        </w:rPr>
      </w:pPr>
      <w:r w:rsidRPr="00A90ED6">
        <w:rPr>
          <w:rFonts w:eastAsia="Times New Roman" w:cs="Times New Roman"/>
          <w:i/>
          <w:szCs w:val="28"/>
          <w:lang w:eastAsia="es-ES"/>
        </w:rPr>
        <w:t>Fuente: elaboración propia a partir de Contabilidad Regional de España (INE)</w:t>
      </w:r>
    </w:p>
    <w:p w:rsidR="00A90ED6" w:rsidRDefault="00A90ED6" w:rsidP="007D090D">
      <w:pPr>
        <w:spacing w:after="0" w:line="240" w:lineRule="auto"/>
        <w:jc w:val="both"/>
        <w:rPr>
          <w:rFonts w:eastAsia="Times New Roman" w:cs="Times New Roman"/>
          <w:sz w:val="28"/>
          <w:szCs w:val="28"/>
          <w:lang w:eastAsia="es-ES"/>
        </w:rPr>
      </w:pPr>
    </w:p>
    <w:p w:rsidR="007D090D" w:rsidRDefault="007D090D" w:rsidP="007D090D">
      <w:pPr>
        <w:spacing w:after="0" w:line="240" w:lineRule="auto"/>
        <w:jc w:val="both"/>
        <w:rPr>
          <w:rFonts w:eastAsia="Times New Roman" w:cs="Times New Roman"/>
          <w:sz w:val="28"/>
          <w:szCs w:val="28"/>
          <w:lang w:eastAsia="es-ES"/>
        </w:rPr>
      </w:pPr>
      <w:r>
        <w:rPr>
          <w:rFonts w:eastAsia="Times New Roman" w:cs="Times New Roman"/>
          <w:sz w:val="28"/>
          <w:szCs w:val="28"/>
          <w:lang w:eastAsia="es-ES"/>
        </w:rPr>
        <w:lastRenderedPageBreak/>
        <w:t>De hecho, solo en seis autonomías (</w:t>
      </w:r>
      <w:r w:rsidRPr="0096479F">
        <w:rPr>
          <w:rFonts w:eastAsia="Times New Roman" w:cs="Times New Roman"/>
          <w:sz w:val="28"/>
          <w:szCs w:val="28"/>
          <w:lang w:eastAsia="es-ES"/>
        </w:rPr>
        <w:t>Castilla-La Mancha</w:t>
      </w:r>
      <w:r>
        <w:rPr>
          <w:rFonts w:eastAsia="Times New Roman" w:cs="Times New Roman"/>
          <w:sz w:val="28"/>
          <w:szCs w:val="28"/>
          <w:lang w:eastAsia="es-ES"/>
        </w:rPr>
        <w:t xml:space="preserve">, </w:t>
      </w:r>
      <w:r w:rsidRPr="0096479F">
        <w:rPr>
          <w:rFonts w:eastAsia="Times New Roman" w:cs="Times New Roman"/>
          <w:sz w:val="28"/>
          <w:szCs w:val="28"/>
          <w:lang w:eastAsia="es-ES"/>
        </w:rPr>
        <w:t>Extremadura</w:t>
      </w:r>
      <w:r>
        <w:rPr>
          <w:rFonts w:eastAsia="Times New Roman" w:cs="Times New Roman"/>
          <w:sz w:val="28"/>
          <w:szCs w:val="28"/>
          <w:lang w:eastAsia="es-ES"/>
        </w:rPr>
        <w:t xml:space="preserve">, </w:t>
      </w:r>
      <w:r w:rsidRPr="0096479F">
        <w:rPr>
          <w:rFonts w:eastAsia="Times New Roman" w:cs="Times New Roman"/>
          <w:sz w:val="28"/>
          <w:szCs w:val="28"/>
          <w:lang w:eastAsia="es-ES"/>
        </w:rPr>
        <w:t>Aragón</w:t>
      </w:r>
      <w:r>
        <w:rPr>
          <w:rFonts w:eastAsia="Times New Roman" w:cs="Times New Roman"/>
          <w:sz w:val="28"/>
          <w:szCs w:val="28"/>
          <w:lang w:eastAsia="es-ES"/>
        </w:rPr>
        <w:t xml:space="preserve">, La </w:t>
      </w:r>
      <w:r w:rsidRPr="0096479F">
        <w:rPr>
          <w:rFonts w:eastAsia="Times New Roman" w:cs="Times New Roman"/>
          <w:sz w:val="28"/>
          <w:szCs w:val="28"/>
          <w:lang w:eastAsia="es-ES"/>
        </w:rPr>
        <w:t>Rioja</w:t>
      </w:r>
      <w:r>
        <w:rPr>
          <w:rFonts w:eastAsia="Times New Roman" w:cs="Times New Roman"/>
          <w:sz w:val="28"/>
          <w:szCs w:val="28"/>
          <w:lang w:eastAsia="es-ES"/>
        </w:rPr>
        <w:t>, A</w:t>
      </w:r>
      <w:r w:rsidRPr="0096479F">
        <w:rPr>
          <w:rFonts w:eastAsia="Times New Roman" w:cs="Times New Roman"/>
          <w:sz w:val="28"/>
          <w:szCs w:val="28"/>
          <w:lang w:eastAsia="es-ES"/>
        </w:rPr>
        <w:t>ndalucía</w:t>
      </w:r>
      <w:r>
        <w:rPr>
          <w:rFonts w:eastAsia="Times New Roman" w:cs="Times New Roman"/>
          <w:sz w:val="28"/>
          <w:szCs w:val="28"/>
          <w:lang w:eastAsia="es-ES"/>
        </w:rPr>
        <w:t xml:space="preserve"> y </w:t>
      </w:r>
      <w:r w:rsidRPr="0096479F">
        <w:rPr>
          <w:rFonts w:eastAsia="Times New Roman" w:cs="Times New Roman"/>
          <w:sz w:val="28"/>
          <w:szCs w:val="28"/>
          <w:lang w:eastAsia="es-ES"/>
        </w:rPr>
        <w:t>Galicia</w:t>
      </w:r>
      <w:r>
        <w:rPr>
          <w:rFonts w:eastAsia="Times New Roman" w:cs="Times New Roman"/>
          <w:sz w:val="28"/>
          <w:szCs w:val="28"/>
          <w:lang w:eastAsia="es-ES"/>
        </w:rPr>
        <w:t>) se alcanzaban porcentajes mayores. O, dicho de otro modo, el sector primario murciano representa el 4,8% del nacional, cuando la economía murciana en su conjunto solo supone el 2,6% de la española, según la Contabilidad Regional de España realizada por el INE.</w:t>
      </w:r>
    </w:p>
    <w:p w:rsidR="007D090D" w:rsidRDefault="007D090D" w:rsidP="007D090D">
      <w:pPr>
        <w:spacing w:after="0" w:line="240" w:lineRule="auto"/>
        <w:jc w:val="both"/>
        <w:rPr>
          <w:rFonts w:eastAsia="Times New Roman" w:cs="Times New Roman"/>
          <w:sz w:val="28"/>
          <w:szCs w:val="28"/>
          <w:lang w:eastAsia="es-ES"/>
        </w:rPr>
      </w:pPr>
    </w:p>
    <w:p w:rsidR="007D090D" w:rsidRDefault="007D090D" w:rsidP="007D090D">
      <w:pPr>
        <w:spacing w:after="0" w:line="240" w:lineRule="auto"/>
        <w:jc w:val="both"/>
        <w:rPr>
          <w:rFonts w:eastAsia="Times New Roman" w:cs="Times New Roman"/>
          <w:sz w:val="28"/>
          <w:szCs w:val="28"/>
          <w:lang w:eastAsia="es-ES"/>
        </w:rPr>
      </w:pPr>
      <w:r>
        <w:rPr>
          <w:rFonts w:eastAsia="Times New Roman" w:cs="Times New Roman"/>
          <w:sz w:val="28"/>
          <w:szCs w:val="28"/>
          <w:lang w:eastAsia="es-ES"/>
        </w:rPr>
        <w:t>En términos de empleo, las conclusiones son incluso más acentuadas: el sector agrario emplea al 10,9% de los trabajadores murcianos, mientras en España se reduce al  4,0%, de manera que Murcia acumula el 8,2% del empleo agrario nacional (cuando en el empleo del total de sectores alcanza una cuota del 3%).</w:t>
      </w:r>
    </w:p>
    <w:p w:rsidR="007D090D" w:rsidRDefault="007D090D" w:rsidP="007D090D">
      <w:pPr>
        <w:spacing w:after="0" w:line="240" w:lineRule="auto"/>
        <w:jc w:val="both"/>
        <w:rPr>
          <w:rFonts w:eastAsia="Times New Roman" w:cs="Times New Roman"/>
          <w:sz w:val="28"/>
          <w:szCs w:val="28"/>
          <w:lang w:eastAsia="es-ES"/>
        </w:rPr>
      </w:pPr>
    </w:p>
    <w:p w:rsidR="007D090D" w:rsidRDefault="007D090D" w:rsidP="007D090D">
      <w:pPr>
        <w:spacing w:after="0" w:line="240" w:lineRule="auto"/>
        <w:jc w:val="both"/>
        <w:rPr>
          <w:rFonts w:eastAsia="Times New Roman" w:cs="Times New Roman"/>
          <w:sz w:val="28"/>
          <w:szCs w:val="28"/>
          <w:lang w:eastAsia="es-ES"/>
        </w:rPr>
      </w:pPr>
      <w:r>
        <w:rPr>
          <w:rFonts w:eastAsia="Times New Roman" w:cs="Times New Roman"/>
          <w:sz w:val="28"/>
          <w:szCs w:val="28"/>
          <w:lang w:eastAsia="es-ES"/>
        </w:rPr>
        <w:t xml:space="preserve">A esta marcada presencia ha contribuido indudablemente la intensa actividad agraria que se desarrolla por la geografía murciana. De este modo, por ejemplo, la Región de Murcia contaba en noviembre de 2015 con una cabaña porcina cuantificada en </w:t>
      </w:r>
      <w:r w:rsidRPr="00CD5F23">
        <w:rPr>
          <w:rFonts w:eastAsia="Times New Roman" w:cs="Times New Roman"/>
          <w:sz w:val="28"/>
          <w:szCs w:val="28"/>
          <w:lang w:eastAsia="es-ES"/>
        </w:rPr>
        <w:t>1.744.862</w:t>
      </w:r>
      <w:r>
        <w:rPr>
          <w:rFonts w:eastAsia="Times New Roman" w:cs="Times New Roman"/>
          <w:sz w:val="28"/>
          <w:szCs w:val="28"/>
          <w:lang w:eastAsia="es-ES"/>
        </w:rPr>
        <w:t xml:space="preserve"> unidades, el 6,2% nacional. Baste señalar que solamente cuatro Comunidades Autónomas (Aragón, Cataluña, Castilla y León y Andalucía) contaban con más efectivos, según datos del Ministerio de Agricultura y Pesca, Alimentación y Medio Ambiente. Por lo que respecta a ganado ovino, se cuenta con </w:t>
      </w:r>
      <w:r w:rsidRPr="00687E8F">
        <w:rPr>
          <w:rFonts w:eastAsia="Times New Roman" w:cs="Times New Roman"/>
          <w:sz w:val="28"/>
          <w:szCs w:val="28"/>
          <w:lang w:eastAsia="es-ES"/>
        </w:rPr>
        <w:t>1.073.622</w:t>
      </w:r>
      <w:r>
        <w:rPr>
          <w:rFonts w:eastAsia="Times New Roman" w:cs="Times New Roman"/>
          <w:sz w:val="28"/>
          <w:szCs w:val="28"/>
          <w:lang w:eastAsia="es-ES"/>
        </w:rPr>
        <w:t xml:space="preserve"> cabezas, el 6,5% del total nacional y la sexta cabaña más extensa (solo superada por Aragón, Castilla y León, Castilla-La Mancha, Extremadura y Andalucía).</w:t>
      </w:r>
    </w:p>
    <w:p w:rsidR="007D090D" w:rsidRDefault="007D090D" w:rsidP="007D090D">
      <w:pPr>
        <w:spacing w:after="0" w:line="240" w:lineRule="auto"/>
        <w:jc w:val="both"/>
        <w:rPr>
          <w:rFonts w:eastAsia="Times New Roman" w:cs="Times New Roman"/>
          <w:sz w:val="28"/>
          <w:szCs w:val="28"/>
          <w:lang w:eastAsia="es-ES"/>
        </w:rPr>
      </w:pPr>
    </w:p>
    <w:p w:rsidR="007D090D" w:rsidRDefault="007D090D" w:rsidP="007D090D">
      <w:pPr>
        <w:spacing w:after="0" w:line="240" w:lineRule="auto"/>
        <w:jc w:val="both"/>
        <w:rPr>
          <w:rFonts w:eastAsia="Times New Roman" w:cs="Times New Roman"/>
          <w:sz w:val="28"/>
          <w:szCs w:val="28"/>
          <w:lang w:eastAsia="es-ES"/>
        </w:rPr>
      </w:pPr>
      <w:r>
        <w:rPr>
          <w:rFonts w:eastAsia="Times New Roman" w:cs="Times New Roman"/>
          <w:sz w:val="28"/>
          <w:szCs w:val="28"/>
          <w:lang w:eastAsia="es-ES"/>
        </w:rPr>
        <w:t xml:space="preserve">Es cierto que, si en el territorio nacional no se da una distribución homogénea de la actividad ganadera, lo mismo ocurre en el de la Región de Murcia, donde se detectan determinados enclaves en los que este tipo de prácticas gozan de mayor arraigo, tradición e importancia relativa dentro del entramado económico. Sin ir más lejos, es el caso de la comarca del Guadalentín, en  la que la ganadería tiene una implantación más extendida, con mayor número de actores, y con una mayor interdependencia del resto del tejido productivo, que se traduce en unos mayores efectos arrastre y empuje sobre las demás actividades. Así se podrá comprobar de la exposición de datos que siguen, en los que se detallan las principales magnitudes ganaderas disponibles para los municipios de Lorca, </w:t>
      </w:r>
      <w:proofErr w:type="spellStart"/>
      <w:r>
        <w:rPr>
          <w:rFonts w:eastAsia="Times New Roman" w:cs="Times New Roman"/>
          <w:sz w:val="28"/>
          <w:szCs w:val="28"/>
          <w:lang w:eastAsia="es-ES"/>
        </w:rPr>
        <w:t>Aledo</w:t>
      </w:r>
      <w:proofErr w:type="spellEnd"/>
      <w:r>
        <w:rPr>
          <w:rFonts w:eastAsia="Times New Roman" w:cs="Times New Roman"/>
          <w:sz w:val="28"/>
          <w:szCs w:val="28"/>
          <w:lang w:eastAsia="es-ES"/>
        </w:rPr>
        <w:t xml:space="preserve">, Puerto Lumbreras y </w:t>
      </w:r>
      <w:proofErr w:type="spellStart"/>
      <w:r>
        <w:rPr>
          <w:rFonts w:eastAsia="Times New Roman" w:cs="Times New Roman"/>
          <w:sz w:val="28"/>
          <w:szCs w:val="28"/>
          <w:lang w:eastAsia="es-ES"/>
        </w:rPr>
        <w:t>Totana</w:t>
      </w:r>
      <w:proofErr w:type="spellEnd"/>
      <w:r>
        <w:rPr>
          <w:rFonts w:eastAsia="Times New Roman" w:cs="Times New Roman"/>
          <w:sz w:val="28"/>
          <w:szCs w:val="28"/>
          <w:lang w:eastAsia="es-ES"/>
        </w:rPr>
        <w:t xml:space="preserve">.  </w:t>
      </w:r>
    </w:p>
    <w:p w:rsidR="007D090D" w:rsidRDefault="007D090D" w:rsidP="00640BD6">
      <w:pPr>
        <w:spacing w:after="0" w:line="240" w:lineRule="auto"/>
        <w:jc w:val="both"/>
        <w:rPr>
          <w:rFonts w:eastAsia="Times New Roman" w:cs="Times New Roman"/>
          <w:b/>
          <w:sz w:val="28"/>
          <w:szCs w:val="28"/>
          <w:lang w:eastAsia="es-ES"/>
        </w:rPr>
      </w:pPr>
    </w:p>
    <w:p w:rsidR="00640BD6" w:rsidRDefault="00640BD6" w:rsidP="00640BD6">
      <w:pPr>
        <w:spacing w:after="0" w:line="240" w:lineRule="auto"/>
        <w:jc w:val="both"/>
        <w:rPr>
          <w:rFonts w:eastAsia="Times New Roman" w:cs="Times New Roman"/>
          <w:b/>
          <w:sz w:val="28"/>
          <w:szCs w:val="28"/>
          <w:lang w:eastAsia="es-ES"/>
        </w:rPr>
      </w:pPr>
    </w:p>
    <w:p w:rsidR="007D090D" w:rsidRPr="00640BD6" w:rsidRDefault="007D090D" w:rsidP="00640BD6">
      <w:pPr>
        <w:spacing w:after="0" w:line="240" w:lineRule="auto"/>
        <w:jc w:val="both"/>
        <w:rPr>
          <w:rFonts w:eastAsia="Times New Roman" w:cs="Times New Roman"/>
          <w:b/>
          <w:sz w:val="28"/>
          <w:szCs w:val="28"/>
          <w:lang w:eastAsia="es-ES"/>
        </w:rPr>
      </w:pPr>
      <w:bookmarkStart w:id="0" w:name="_GoBack"/>
      <w:bookmarkEnd w:id="0"/>
    </w:p>
    <w:p w:rsidR="001C162B" w:rsidRDefault="008A2516" w:rsidP="001C162B">
      <w:pPr>
        <w:pStyle w:val="Prrafodelista"/>
        <w:numPr>
          <w:ilvl w:val="0"/>
          <w:numId w:val="9"/>
        </w:numPr>
        <w:spacing w:after="0" w:line="240" w:lineRule="auto"/>
        <w:jc w:val="both"/>
        <w:rPr>
          <w:rFonts w:eastAsia="Times New Roman" w:cs="Times New Roman"/>
          <w:b/>
          <w:sz w:val="28"/>
          <w:szCs w:val="28"/>
          <w:lang w:eastAsia="es-ES"/>
        </w:rPr>
      </w:pPr>
      <w:r>
        <w:rPr>
          <w:rFonts w:eastAsia="Times New Roman" w:cs="Times New Roman"/>
          <w:b/>
          <w:sz w:val="28"/>
          <w:szCs w:val="28"/>
          <w:lang w:eastAsia="es-ES"/>
        </w:rPr>
        <w:t>Principales datos</w:t>
      </w:r>
    </w:p>
    <w:p w:rsidR="007138F0" w:rsidRDefault="007138F0" w:rsidP="007138F0">
      <w:pPr>
        <w:spacing w:after="0" w:line="240" w:lineRule="auto"/>
        <w:jc w:val="both"/>
        <w:rPr>
          <w:rFonts w:eastAsia="Times New Roman" w:cs="Times New Roman"/>
          <w:b/>
          <w:sz w:val="28"/>
          <w:szCs w:val="28"/>
          <w:lang w:eastAsia="es-ES"/>
        </w:rPr>
      </w:pPr>
    </w:p>
    <w:p w:rsidR="00FE46CF" w:rsidRDefault="00FE46CF" w:rsidP="00FE46CF">
      <w:pPr>
        <w:spacing w:after="0" w:line="240" w:lineRule="auto"/>
        <w:jc w:val="both"/>
        <w:rPr>
          <w:rFonts w:eastAsia="Times New Roman" w:cs="Times New Roman"/>
          <w:b/>
          <w:sz w:val="28"/>
          <w:szCs w:val="28"/>
          <w:lang w:eastAsia="es-ES"/>
        </w:rPr>
      </w:pPr>
    </w:p>
    <w:p w:rsidR="00FE46CF" w:rsidRDefault="00FE46CF" w:rsidP="00FE46CF">
      <w:pPr>
        <w:spacing w:after="0" w:line="240" w:lineRule="auto"/>
        <w:jc w:val="both"/>
        <w:rPr>
          <w:rFonts w:eastAsia="Times New Roman" w:cs="Times New Roman"/>
          <w:sz w:val="28"/>
          <w:szCs w:val="28"/>
          <w:lang w:eastAsia="es-ES"/>
        </w:rPr>
      </w:pPr>
      <w:r w:rsidRPr="00AC7C75">
        <w:rPr>
          <w:rFonts w:eastAsia="Times New Roman" w:cs="Times New Roman"/>
          <w:sz w:val="28"/>
          <w:szCs w:val="28"/>
          <w:lang w:eastAsia="es-ES"/>
        </w:rPr>
        <w:t xml:space="preserve">Los principales datos </w:t>
      </w:r>
      <w:r>
        <w:rPr>
          <w:rFonts w:eastAsia="Times New Roman" w:cs="Times New Roman"/>
          <w:sz w:val="28"/>
          <w:szCs w:val="28"/>
          <w:lang w:eastAsia="es-ES"/>
        </w:rPr>
        <w:t xml:space="preserve">que se exponen a </w:t>
      </w:r>
      <w:r w:rsidRPr="00AC7C75">
        <w:rPr>
          <w:rFonts w:eastAsia="Times New Roman" w:cs="Times New Roman"/>
          <w:sz w:val="28"/>
          <w:szCs w:val="28"/>
          <w:lang w:eastAsia="es-ES"/>
        </w:rPr>
        <w:t>continua</w:t>
      </w:r>
      <w:r>
        <w:rPr>
          <w:rFonts w:eastAsia="Times New Roman" w:cs="Times New Roman"/>
          <w:sz w:val="28"/>
          <w:szCs w:val="28"/>
          <w:lang w:eastAsia="es-ES"/>
        </w:rPr>
        <w:t>ción</w:t>
      </w:r>
      <w:r w:rsidRPr="00AC7C75">
        <w:rPr>
          <w:rFonts w:eastAsia="Times New Roman" w:cs="Times New Roman"/>
          <w:sz w:val="28"/>
          <w:szCs w:val="28"/>
          <w:lang w:eastAsia="es-ES"/>
        </w:rPr>
        <w:t xml:space="preserve"> han sido extra</w:t>
      </w:r>
      <w:r w:rsidR="005A40A3">
        <w:rPr>
          <w:rFonts w:eastAsia="Times New Roman" w:cs="Times New Roman"/>
          <w:sz w:val="28"/>
          <w:szCs w:val="28"/>
          <w:lang w:eastAsia="es-ES"/>
        </w:rPr>
        <w:t>ídos del Censo Agrario realizado</w:t>
      </w:r>
      <w:r w:rsidRPr="00AC7C75">
        <w:rPr>
          <w:rFonts w:eastAsia="Times New Roman" w:cs="Times New Roman"/>
          <w:sz w:val="28"/>
          <w:szCs w:val="28"/>
          <w:lang w:eastAsia="es-ES"/>
        </w:rPr>
        <w:t xml:space="preserve"> por el Instituto Nacional de Estadística, elaborado en 2009, y el cual</w:t>
      </w:r>
      <w:r>
        <w:rPr>
          <w:rFonts w:eastAsia="Times New Roman" w:cs="Times New Roman"/>
          <w:sz w:val="28"/>
          <w:szCs w:val="28"/>
          <w:lang w:eastAsia="es-ES"/>
        </w:rPr>
        <w:t xml:space="preserve"> goza de una periodicidad de 10 años, por lo que no se encuentra versión más actualizada</w:t>
      </w:r>
      <w:r w:rsidRPr="00AC7C75">
        <w:rPr>
          <w:rFonts w:eastAsia="Times New Roman" w:cs="Times New Roman"/>
          <w:sz w:val="28"/>
          <w:szCs w:val="28"/>
          <w:lang w:eastAsia="es-ES"/>
        </w:rPr>
        <w:t xml:space="preserve">. </w:t>
      </w:r>
    </w:p>
    <w:p w:rsidR="007D090D" w:rsidRDefault="007D090D" w:rsidP="00FE46CF">
      <w:pPr>
        <w:spacing w:after="0" w:line="240" w:lineRule="auto"/>
        <w:jc w:val="both"/>
        <w:rPr>
          <w:rFonts w:eastAsia="Times New Roman" w:cs="Times New Roman"/>
          <w:sz w:val="28"/>
          <w:szCs w:val="28"/>
          <w:lang w:eastAsia="es-ES"/>
        </w:rPr>
      </w:pPr>
    </w:p>
    <w:p w:rsidR="00FE46CF" w:rsidRPr="00FE46CF" w:rsidRDefault="00FE46CF" w:rsidP="007138F0">
      <w:pPr>
        <w:spacing w:after="0" w:line="240" w:lineRule="auto"/>
        <w:jc w:val="both"/>
        <w:rPr>
          <w:rFonts w:eastAsia="Times New Roman" w:cs="Times New Roman"/>
          <w:sz w:val="28"/>
          <w:szCs w:val="28"/>
          <w:lang w:eastAsia="es-ES"/>
        </w:rPr>
      </w:pPr>
      <w:r>
        <w:rPr>
          <w:rFonts w:eastAsia="Times New Roman" w:cs="Times New Roman"/>
          <w:sz w:val="28"/>
          <w:szCs w:val="28"/>
          <w:lang w:eastAsia="es-ES"/>
        </w:rPr>
        <w:t>En él, y antes de adentrarnos en el desglose por municipios se pueden observar como la tendencia del sector ha sido bastante clara: el número de explotaciones ganaderas ha disminuido en toda la región mientras el número de cabezas ha ido en aumento (a excepción de conejas madres). De este modo, se entiende que las explotaciones, aunque sumen menos en el montante regional, cuentan con</w:t>
      </w:r>
      <w:r w:rsidR="005A40A3">
        <w:rPr>
          <w:rFonts w:eastAsia="Times New Roman" w:cs="Times New Roman"/>
          <w:sz w:val="28"/>
          <w:szCs w:val="28"/>
          <w:lang w:eastAsia="es-ES"/>
        </w:rPr>
        <w:t xml:space="preserve"> una mayor dimensión que décadas</w:t>
      </w:r>
      <w:r>
        <w:rPr>
          <w:rFonts w:eastAsia="Times New Roman" w:cs="Times New Roman"/>
          <w:sz w:val="28"/>
          <w:szCs w:val="28"/>
          <w:lang w:eastAsia="es-ES"/>
        </w:rPr>
        <w:t xml:space="preserve"> atrás.  </w:t>
      </w:r>
    </w:p>
    <w:p w:rsidR="00640BD6" w:rsidRDefault="00640BD6" w:rsidP="007138F0">
      <w:pPr>
        <w:spacing w:after="0" w:line="240" w:lineRule="auto"/>
        <w:jc w:val="both"/>
        <w:rPr>
          <w:rFonts w:eastAsia="Times New Roman" w:cs="Times New Roman"/>
          <w:b/>
          <w:sz w:val="28"/>
          <w:szCs w:val="28"/>
          <w:lang w:eastAsia="es-ES"/>
        </w:rPr>
      </w:pPr>
    </w:p>
    <w:p w:rsidR="00640BD6" w:rsidRDefault="00FE46CF" w:rsidP="00FE46CF">
      <w:pPr>
        <w:rPr>
          <w:rFonts w:eastAsia="Times New Roman" w:cs="Times New Roman"/>
          <w:b/>
          <w:sz w:val="28"/>
          <w:szCs w:val="28"/>
          <w:lang w:eastAsia="es-ES"/>
        </w:rPr>
      </w:pPr>
      <w:r w:rsidRPr="00FE46CF">
        <w:rPr>
          <w:noProof/>
          <w:lang w:eastAsia="es-ES"/>
        </w:rPr>
        <w:drawing>
          <wp:inline distT="0" distB="0" distL="0" distR="0" wp14:anchorId="5A4B370B" wp14:editId="128B8F5E">
            <wp:extent cx="5816339" cy="1281721"/>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7136" cy="1284100"/>
                    </a:xfrm>
                    <a:prstGeom prst="rect">
                      <a:avLst/>
                    </a:prstGeom>
                    <a:noFill/>
                    <a:ln>
                      <a:noFill/>
                    </a:ln>
                  </pic:spPr>
                </pic:pic>
              </a:graphicData>
            </a:graphic>
          </wp:inline>
        </w:drawing>
      </w:r>
    </w:p>
    <w:p w:rsidR="00FB60A0" w:rsidRPr="000159C9" w:rsidRDefault="00FB60A0" w:rsidP="00FB60A0">
      <w:pPr>
        <w:spacing w:after="0" w:line="240" w:lineRule="auto"/>
        <w:jc w:val="both"/>
        <w:rPr>
          <w:rFonts w:eastAsia="Times New Roman" w:cs="Times New Roman"/>
          <w:i/>
          <w:sz w:val="18"/>
          <w:szCs w:val="18"/>
          <w:lang w:eastAsia="es-ES"/>
        </w:rPr>
      </w:pPr>
      <w:r w:rsidRPr="00D30150">
        <w:rPr>
          <w:rFonts w:eastAsia="Times New Roman" w:cs="Times New Roman"/>
          <w:i/>
          <w:sz w:val="18"/>
          <w:szCs w:val="18"/>
          <w:lang w:eastAsia="es-ES"/>
        </w:rPr>
        <w:t xml:space="preserve">Fuente: </w:t>
      </w:r>
      <w:r>
        <w:rPr>
          <w:rFonts w:eastAsia="Times New Roman" w:cs="Times New Roman"/>
          <w:i/>
          <w:sz w:val="18"/>
          <w:szCs w:val="18"/>
          <w:lang w:eastAsia="es-ES"/>
        </w:rPr>
        <w:t>Elaboración Propia a través de Censo Agrario</w:t>
      </w:r>
    </w:p>
    <w:p w:rsidR="0045371B" w:rsidRDefault="0045371B" w:rsidP="0045371B">
      <w:pPr>
        <w:spacing w:after="0" w:line="240" w:lineRule="auto"/>
        <w:jc w:val="both"/>
        <w:rPr>
          <w:rFonts w:eastAsia="Times New Roman" w:cs="Times New Roman"/>
          <w:sz w:val="28"/>
          <w:szCs w:val="28"/>
          <w:u w:val="single"/>
          <w:lang w:eastAsia="es-ES"/>
        </w:rPr>
      </w:pPr>
    </w:p>
    <w:p w:rsidR="0045371B" w:rsidRDefault="00A62ACB" w:rsidP="0045371B">
      <w:pPr>
        <w:spacing w:after="0" w:line="240" w:lineRule="auto"/>
        <w:jc w:val="both"/>
        <w:rPr>
          <w:rFonts w:eastAsia="Times New Roman" w:cs="Times New Roman"/>
          <w:sz w:val="28"/>
          <w:szCs w:val="28"/>
          <w:u w:val="single"/>
          <w:lang w:eastAsia="es-ES"/>
        </w:rPr>
      </w:pPr>
      <w:r w:rsidRPr="00A62ACB">
        <w:rPr>
          <w:rFonts w:eastAsia="Times New Roman" w:cs="Times New Roman"/>
          <w:sz w:val="28"/>
          <w:szCs w:val="28"/>
          <w:u w:val="single"/>
          <w:lang w:eastAsia="es-ES"/>
        </w:rPr>
        <w:t>Nº de explotaciones ganaderas</w:t>
      </w:r>
    </w:p>
    <w:p w:rsidR="007D090D" w:rsidRDefault="007D090D" w:rsidP="008A2516">
      <w:pPr>
        <w:spacing w:after="0" w:line="240" w:lineRule="auto"/>
        <w:jc w:val="both"/>
        <w:rPr>
          <w:rFonts w:eastAsia="Times New Roman" w:cs="Times New Roman"/>
          <w:sz w:val="28"/>
          <w:szCs w:val="28"/>
          <w:lang w:eastAsia="es-ES"/>
        </w:rPr>
      </w:pPr>
    </w:p>
    <w:p w:rsidR="00A62ACB" w:rsidRDefault="00A62ACB" w:rsidP="008A2516">
      <w:pPr>
        <w:spacing w:after="0" w:line="240" w:lineRule="auto"/>
        <w:jc w:val="both"/>
        <w:rPr>
          <w:rFonts w:eastAsia="Times New Roman" w:cs="Times New Roman"/>
          <w:sz w:val="28"/>
          <w:szCs w:val="28"/>
          <w:lang w:eastAsia="es-ES"/>
        </w:rPr>
      </w:pPr>
      <w:r w:rsidRPr="00A62ACB">
        <w:rPr>
          <w:rFonts w:eastAsia="Times New Roman" w:cs="Times New Roman"/>
          <w:sz w:val="28"/>
          <w:szCs w:val="28"/>
          <w:lang w:eastAsia="es-ES"/>
        </w:rPr>
        <w:t xml:space="preserve">El mayor número de explotaciones </w:t>
      </w:r>
      <w:r>
        <w:rPr>
          <w:rFonts w:eastAsia="Times New Roman" w:cs="Times New Roman"/>
          <w:sz w:val="28"/>
          <w:szCs w:val="28"/>
          <w:lang w:eastAsia="es-ES"/>
        </w:rPr>
        <w:t>ganaderas se encuentra en el municipio de Lorca, concentrando el</w:t>
      </w:r>
      <w:r w:rsidRPr="00457367">
        <w:rPr>
          <w:rFonts w:eastAsia="Times New Roman" w:cs="Times New Roman"/>
          <w:b/>
          <w:sz w:val="28"/>
          <w:szCs w:val="28"/>
          <w:lang w:eastAsia="es-ES"/>
        </w:rPr>
        <w:t xml:space="preserve"> 28%</w:t>
      </w:r>
      <w:r>
        <w:rPr>
          <w:rFonts w:eastAsia="Times New Roman" w:cs="Times New Roman"/>
          <w:sz w:val="28"/>
          <w:szCs w:val="28"/>
          <w:lang w:eastAsia="es-ES"/>
        </w:rPr>
        <w:t xml:space="preserve"> del total regional. De este modo, Lorca destaca por una especializaci</w:t>
      </w:r>
      <w:r w:rsidR="006B03C1">
        <w:rPr>
          <w:rFonts w:eastAsia="Times New Roman" w:cs="Times New Roman"/>
          <w:sz w:val="28"/>
          <w:szCs w:val="28"/>
          <w:lang w:eastAsia="es-ES"/>
        </w:rPr>
        <w:t>ón en explotaciones bobinas (+51</w:t>
      </w:r>
      <w:r>
        <w:rPr>
          <w:rFonts w:eastAsia="Times New Roman" w:cs="Times New Roman"/>
          <w:sz w:val="28"/>
          <w:szCs w:val="28"/>
          <w:lang w:eastAsia="es-ES"/>
        </w:rPr>
        <w:t xml:space="preserve">%), frente a porcentajes inferiores de otras especies como </w:t>
      </w:r>
      <w:r w:rsidR="006B03C1">
        <w:rPr>
          <w:rFonts w:eastAsia="Times New Roman" w:cs="Times New Roman"/>
          <w:sz w:val="28"/>
          <w:szCs w:val="28"/>
          <w:lang w:eastAsia="es-ES"/>
        </w:rPr>
        <w:t>porcino (41</w:t>
      </w:r>
      <w:r w:rsidR="006B03C1" w:rsidRPr="006B03C1">
        <w:rPr>
          <w:rFonts w:eastAsia="Times New Roman" w:cs="Times New Roman"/>
          <w:sz w:val="28"/>
          <w:szCs w:val="28"/>
          <w:lang w:eastAsia="es-ES"/>
        </w:rPr>
        <w:t xml:space="preserve">%), </w:t>
      </w:r>
      <w:r w:rsidR="006B03C1">
        <w:rPr>
          <w:rFonts w:eastAsia="Times New Roman" w:cs="Times New Roman"/>
          <w:sz w:val="28"/>
          <w:szCs w:val="28"/>
          <w:lang w:eastAsia="es-ES"/>
        </w:rPr>
        <w:t>conejas madres (29</w:t>
      </w:r>
      <w:r>
        <w:rPr>
          <w:rFonts w:eastAsia="Times New Roman" w:cs="Times New Roman"/>
          <w:sz w:val="28"/>
          <w:szCs w:val="28"/>
          <w:lang w:eastAsia="es-ES"/>
        </w:rPr>
        <w:t xml:space="preserve">%), </w:t>
      </w:r>
      <w:r w:rsidR="006B03C1" w:rsidRPr="006B03C1">
        <w:rPr>
          <w:rFonts w:eastAsia="Times New Roman" w:cs="Times New Roman"/>
          <w:sz w:val="28"/>
          <w:szCs w:val="28"/>
          <w:lang w:eastAsia="es-ES"/>
        </w:rPr>
        <w:t>aves de corral (26</w:t>
      </w:r>
      <w:r w:rsidR="006B03C1">
        <w:rPr>
          <w:rFonts w:eastAsia="Times New Roman" w:cs="Times New Roman"/>
          <w:sz w:val="28"/>
          <w:szCs w:val="28"/>
          <w:lang w:eastAsia="es-ES"/>
        </w:rPr>
        <w:t>%), caprino (25%)</w:t>
      </w:r>
      <w:r w:rsidR="00DE49F8">
        <w:rPr>
          <w:rFonts w:eastAsia="Times New Roman" w:cs="Times New Roman"/>
          <w:sz w:val="28"/>
          <w:szCs w:val="28"/>
          <w:lang w:eastAsia="es-ES"/>
        </w:rPr>
        <w:t>, ovino (20%)</w:t>
      </w:r>
      <w:r w:rsidR="006B03C1">
        <w:rPr>
          <w:rFonts w:eastAsia="Times New Roman" w:cs="Times New Roman"/>
          <w:sz w:val="28"/>
          <w:szCs w:val="28"/>
          <w:lang w:eastAsia="es-ES"/>
        </w:rPr>
        <w:t xml:space="preserve"> y equino (19%). </w:t>
      </w:r>
      <w:r>
        <w:rPr>
          <w:rFonts w:eastAsia="Times New Roman" w:cs="Times New Roman"/>
          <w:sz w:val="28"/>
          <w:szCs w:val="28"/>
          <w:lang w:eastAsia="es-ES"/>
        </w:rPr>
        <w:t xml:space="preserve">Por otra lado, y en el resto de municipios vemos que las especies donde </w:t>
      </w:r>
      <w:r w:rsidR="00457367">
        <w:rPr>
          <w:rFonts w:eastAsia="Times New Roman" w:cs="Times New Roman"/>
          <w:sz w:val="28"/>
          <w:szCs w:val="28"/>
          <w:lang w:eastAsia="es-ES"/>
        </w:rPr>
        <w:t>más</w:t>
      </w:r>
      <w:r>
        <w:rPr>
          <w:rFonts w:eastAsia="Times New Roman" w:cs="Times New Roman"/>
          <w:sz w:val="28"/>
          <w:szCs w:val="28"/>
          <w:lang w:eastAsia="es-ES"/>
        </w:rPr>
        <w:t xml:space="preserve"> se han especializado son </w:t>
      </w:r>
      <w:r w:rsidR="00DA5D3B">
        <w:rPr>
          <w:rFonts w:eastAsia="Times New Roman" w:cs="Times New Roman"/>
          <w:sz w:val="28"/>
          <w:szCs w:val="28"/>
          <w:lang w:eastAsia="es-ES"/>
        </w:rPr>
        <w:t xml:space="preserve">caprino </w:t>
      </w:r>
      <w:r w:rsidR="006B03C1">
        <w:rPr>
          <w:rFonts w:eastAsia="Times New Roman" w:cs="Times New Roman"/>
          <w:sz w:val="28"/>
          <w:szCs w:val="28"/>
          <w:lang w:eastAsia="es-ES"/>
        </w:rPr>
        <w:t xml:space="preserve">y colmenas </w:t>
      </w:r>
      <w:r w:rsidR="00DA5D3B">
        <w:rPr>
          <w:rFonts w:eastAsia="Times New Roman" w:cs="Times New Roman"/>
          <w:sz w:val="28"/>
          <w:szCs w:val="28"/>
          <w:lang w:eastAsia="es-ES"/>
        </w:rPr>
        <w:t xml:space="preserve">en Puerto Lumbreras (con un 10% del total regional), </w:t>
      </w:r>
      <w:r w:rsidR="006B03C1">
        <w:rPr>
          <w:rFonts w:eastAsia="Times New Roman" w:cs="Times New Roman"/>
          <w:sz w:val="28"/>
          <w:szCs w:val="28"/>
          <w:lang w:eastAsia="es-ES"/>
        </w:rPr>
        <w:t xml:space="preserve">porcino </w:t>
      </w:r>
      <w:r w:rsidR="00DA5D3B">
        <w:rPr>
          <w:rFonts w:eastAsia="Times New Roman" w:cs="Times New Roman"/>
          <w:sz w:val="28"/>
          <w:szCs w:val="28"/>
          <w:lang w:eastAsia="es-ES"/>
        </w:rPr>
        <w:t xml:space="preserve">en </w:t>
      </w:r>
      <w:proofErr w:type="spellStart"/>
      <w:r w:rsidR="00DA5D3B">
        <w:rPr>
          <w:rFonts w:eastAsia="Times New Roman" w:cs="Times New Roman"/>
          <w:sz w:val="28"/>
          <w:szCs w:val="28"/>
          <w:lang w:eastAsia="es-ES"/>
        </w:rPr>
        <w:t>Totana</w:t>
      </w:r>
      <w:proofErr w:type="spellEnd"/>
      <w:r w:rsidR="00DA5D3B">
        <w:rPr>
          <w:rFonts w:eastAsia="Times New Roman" w:cs="Times New Roman"/>
          <w:sz w:val="28"/>
          <w:szCs w:val="28"/>
          <w:lang w:eastAsia="es-ES"/>
        </w:rPr>
        <w:t xml:space="preserve"> (un </w:t>
      </w:r>
      <w:r w:rsidR="00457367">
        <w:rPr>
          <w:rFonts w:eastAsia="Times New Roman" w:cs="Times New Roman"/>
          <w:sz w:val="28"/>
          <w:szCs w:val="28"/>
          <w:lang w:eastAsia="es-ES"/>
        </w:rPr>
        <w:t>8</w:t>
      </w:r>
      <w:r w:rsidR="00DA5D3B">
        <w:rPr>
          <w:rFonts w:eastAsia="Times New Roman" w:cs="Times New Roman"/>
          <w:sz w:val="28"/>
          <w:szCs w:val="28"/>
          <w:lang w:eastAsia="es-ES"/>
        </w:rPr>
        <w:t xml:space="preserve">%), y </w:t>
      </w:r>
      <w:proofErr w:type="spellStart"/>
      <w:r w:rsidR="00DA5D3B">
        <w:rPr>
          <w:rFonts w:eastAsia="Times New Roman" w:cs="Times New Roman"/>
          <w:sz w:val="28"/>
          <w:szCs w:val="28"/>
          <w:lang w:eastAsia="es-ES"/>
        </w:rPr>
        <w:t>Aledo</w:t>
      </w:r>
      <w:proofErr w:type="spellEnd"/>
      <w:r w:rsidR="00DA5D3B">
        <w:rPr>
          <w:rFonts w:eastAsia="Times New Roman" w:cs="Times New Roman"/>
          <w:sz w:val="28"/>
          <w:szCs w:val="28"/>
          <w:lang w:eastAsia="es-ES"/>
        </w:rPr>
        <w:t xml:space="preserve"> </w:t>
      </w:r>
      <w:r w:rsidR="006B03C1">
        <w:rPr>
          <w:rFonts w:eastAsia="Times New Roman" w:cs="Times New Roman"/>
          <w:sz w:val="28"/>
          <w:szCs w:val="28"/>
          <w:lang w:eastAsia="es-ES"/>
        </w:rPr>
        <w:t xml:space="preserve">con 3 explotaciones en caprino y otras 3 en ovino. </w:t>
      </w:r>
    </w:p>
    <w:p w:rsidR="00AB5E38" w:rsidRDefault="00AB5E38" w:rsidP="008A2516">
      <w:pPr>
        <w:spacing w:after="0" w:line="240" w:lineRule="auto"/>
        <w:jc w:val="both"/>
        <w:rPr>
          <w:rFonts w:eastAsia="Times New Roman" w:cs="Times New Roman"/>
          <w:sz w:val="28"/>
          <w:szCs w:val="28"/>
          <w:lang w:eastAsia="es-ES"/>
        </w:rPr>
      </w:pPr>
    </w:p>
    <w:p w:rsidR="00AB5E38" w:rsidRDefault="00AB5E38" w:rsidP="008A2516">
      <w:pPr>
        <w:spacing w:after="0" w:line="240" w:lineRule="auto"/>
        <w:jc w:val="both"/>
        <w:rPr>
          <w:rFonts w:eastAsia="Times New Roman" w:cs="Times New Roman"/>
          <w:b/>
          <w:sz w:val="28"/>
          <w:szCs w:val="28"/>
          <w:lang w:eastAsia="es-ES"/>
        </w:rPr>
      </w:pPr>
      <w:r>
        <w:rPr>
          <w:rFonts w:eastAsia="Times New Roman" w:cs="Times New Roman"/>
          <w:sz w:val="28"/>
          <w:szCs w:val="28"/>
          <w:lang w:eastAsia="es-ES"/>
        </w:rPr>
        <w:t>De este modo, en el área del Guadalentín se concentran buena parte de las explotaciones ganaderas de la Región de Murcia: 1.979 en total que representan el 37% del total regional, con una distribución variable por especie. Así, esta comarca acumula más de la mitad de las explotaciones bovinas (160 en total) y porcinas (505) de la Región de Murcia, en torno al 40% de las caprinas (481) y de conejas madre (119), y aproximadamente la tercera parte de las ovinas (325) y</w:t>
      </w:r>
      <w:r>
        <w:rPr>
          <w:rFonts w:eastAsia="Times New Roman" w:cs="Times New Roman"/>
          <w:sz w:val="28"/>
          <w:szCs w:val="28"/>
          <w:lang w:eastAsia="es-ES"/>
        </w:rPr>
        <w:t xml:space="preserve"> de aves de corral</w:t>
      </w:r>
      <w:r>
        <w:rPr>
          <w:rFonts w:eastAsia="Times New Roman" w:cs="Times New Roman"/>
          <w:sz w:val="28"/>
          <w:szCs w:val="28"/>
          <w:lang w:eastAsia="es-ES"/>
        </w:rPr>
        <w:t xml:space="preserve"> (258). La participación es más limitada en colmenas y cabaña equina.     </w:t>
      </w:r>
    </w:p>
    <w:p w:rsidR="00A62ACB" w:rsidRDefault="00A62ACB" w:rsidP="008A2516">
      <w:pPr>
        <w:spacing w:after="0" w:line="240" w:lineRule="auto"/>
        <w:jc w:val="both"/>
        <w:rPr>
          <w:rFonts w:eastAsia="Times New Roman" w:cs="Times New Roman"/>
          <w:b/>
          <w:sz w:val="28"/>
          <w:szCs w:val="28"/>
          <w:lang w:eastAsia="es-ES"/>
        </w:rPr>
      </w:pPr>
    </w:p>
    <w:p w:rsidR="001C162B" w:rsidRPr="001C162B" w:rsidRDefault="00AB5E38" w:rsidP="00DA5D3B">
      <w:pPr>
        <w:spacing w:after="0" w:line="240" w:lineRule="auto"/>
        <w:jc w:val="both"/>
        <w:rPr>
          <w:rFonts w:eastAsia="Times New Roman" w:cs="Times New Roman"/>
          <w:b/>
          <w:sz w:val="28"/>
          <w:szCs w:val="28"/>
          <w:lang w:eastAsia="es-ES"/>
        </w:rPr>
      </w:pPr>
      <w:r w:rsidRPr="00AB5E38">
        <w:drawing>
          <wp:inline distT="0" distB="0" distL="0" distR="0" wp14:anchorId="0833D908" wp14:editId="4819BAB5">
            <wp:extent cx="5400040" cy="2297357"/>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2297357"/>
                    </a:xfrm>
                    <a:prstGeom prst="rect">
                      <a:avLst/>
                    </a:prstGeom>
                    <a:noFill/>
                    <a:ln>
                      <a:noFill/>
                    </a:ln>
                  </pic:spPr>
                </pic:pic>
              </a:graphicData>
            </a:graphic>
          </wp:inline>
        </w:drawing>
      </w:r>
    </w:p>
    <w:p w:rsidR="00A62ACB" w:rsidRPr="000159C9" w:rsidRDefault="00D30150" w:rsidP="000159C9">
      <w:pPr>
        <w:spacing w:after="0" w:line="240" w:lineRule="auto"/>
        <w:jc w:val="both"/>
        <w:rPr>
          <w:rFonts w:eastAsia="Times New Roman" w:cs="Times New Roman"/>
          <w:i/>
          <w:sz w:val="18"/>
          <w:szCs w:val="18"/>
          <w:lang w:eastAsia="es-ES"/>
        </w:rPr>
      </w:pPr>
      <w:r w:rsidRPr="00D30150">
        <w:rPr>
          <w:rFonts w:eastAsia="Times New Roman" w:cs="Times New Roman"/>
          <w:i/>
          <w:sz w:val="18"/>
          <w:szCs w:val="18"/>
          <w:lang w:eastAsia="es-ES"/>
        </w:rPr>
        <w:t xml:space="preserve">Fuente: </w:t>
      </w:r>
      <w:r>
        <w:rPr>
          <w:rFonts w:eastAsia="Times New Roman" w:cs="Times New Roman"/>
          <w:i/>
          <w:sz w:val="18"/>
          <w:szCs w:val="18"/>
          <w:lang w:eastAsia="es-ES"/>
        </w:rPr>
        <w:t xml:space="preserve">Elaboración Propia a través de </w:t>
      </w:r>
      <w:r w:rsidR="00DA5D3B">
        <w:rPr>
          <w:rFonts w:eastAsia="Times New Roman" w:cs="Times New Roman"/>
          <w:i/>
          <w:sz w:val="18"/>
          <w:szCs w:val="18"/>
          <w:lang w:eastAsia="es-ES"/>
        </w:rPr>
        <w:t>Censo Agrari</w:t>
      </w:r>
      <w:r w:rsidR="00457367">
        <w:rPr>
          <w:rFonts w:eastAsia="Times New Roman" w:cs="Times New Roman"/>
          <w:i/>
          <w:sz w:val="18"/>
          <w:szCs w:val="18"/>
          <w:lang w:eastAsia="es-ES"/>
        </w:rPr>
        <w:t>o</w:t>
      </w:r>
    </w:p>
    <w:p w:rsidR="00A62ACB" w:rsidRDefault="00A62ACB" w:rsidP="00D30150">
      <w:pPr>
        <w:spacing w:after="0" w:line="240" w:lineRule="auto"/>
        <w:jc w:val="center"/>
        <w:rPr>
          <w:rFonts w:eastAsia="Times New Roman" w:cs="Times New Roman"/>
          <w:b/>
          <w:sz w:val="28"/>
          <w:szCs w:val="28"/>
          <w:lang w:eastAsia="es-ES"/>
        </w:rPr>
      </w:pPr>
    </w:p>
    <w:p w:rsidR="00A62ACB" w:rsidRPr="0045371B" w:rsidRDefault="00A62ACB" w:rsidP="00A62ACB">
      <w:pPr>
        <w:spacing w:after="0" w:line="240" w:lineRule="auto"/>
        <w:jc w:val="both"/>
        <w:rPr>
          <w:rFonts w:eastAsia="Times New Roman" w:cs="Times New Roman"/>
          <w:sz w:val="28"/>
          <w:szCs w:val="28"/>
          <w:u w:val="single"/>
          <w:lang w:eastAsia="es-ES"/>
        </w:rPr>
      </w:pPr>
      <w:r w:rsidRPr="0045371B">
        <w:rPr>
          <w:rFonts w:eastAsia="Times New Roman" w:cs="Times New Roman"/>
          <w:sz w:val="28"/>
          <w:szCs w:val="28"/>
          <w:u w:val="single"/>
          <w:lang w:eastAsia="es-ES"/>
        </w:rPr>
        <w:t>Nº de cabezas</w:t>
      </w:r>
    </w:p>
    <w:p w:rsidR="007D090D" w:rsidRDefault="007D090D" w:rsidP="00A62ACB">
      <w:pPr>
        <w:spacing w:after="0" w:line="240" w:lineRule="auto"/>
        <w:jc w:val="both"/>
        <w:rPr>
          <w:rFonts w:eastAsia="Times New Roman" w:cs="Times New Roman"/>
          <w:sz w:val="28"/>
          <w:szCs w:val="28"/>
          <w:lang w:eastAsia="es-ES"/>
        </w:rPr>
      </w:pPr>
    </w:p>
    <w:p w:rsidR="00135DA3" w:rsidRDefault="00AB5E38" w:rsidP="00A62ACB">
      <w:pPr>
        <w:spacing w:after="0" w:line="240" w:lineRule="auto"/>
        <w:jc w:val="both"/>
        <w:rPr>
          <w:rFonts w:eastAsia="Times New Roman" w:cs="Times New Roman"/>
          <w:sz w:val="28"/>
          <w:szCs w:val="28"/>
          <w:lang w:eastAsia="es-ES"/>
        </w:rPr>
      </w:pPr>
      <w:r>
        <w:rPr>
          <w:rFonts w:eastAsia="Times New Roman" w:cs="Times New Roman"/>
          <w:sz w:val="28"/>
          <w:szCs w:val="28"/>
          <w:lang w:eastAsia="es-ES"/>
        </w:rPr>
        <w:t>De igual modo que en el número</w:t>
      </w:r>
      <w:r w:rsidR="00FB60A0">
        <w:rPr>
          <w:rFonts w:eastAsia="Times New Roman" w:cs="Times New Roman"/>
          <w:sz w:val="28"/>
          <w:szCs w:val="28"/>
          <w:lang w:eastAsia="es-ES"/>
        </w:rPr>
        <w:t xml:space="preserve"> de explotaciones</w:t>
      </w:r>
      <w:r>
        <w:rPr>
          <w:rFonts w:eastAsia="Times New Roman" w:cs="Times New Roman"/>
          <w:sz w:val="28"/>
          <w:szCs w:val="28"/>
          <w:lang w:eastAsia="es-ES"/>
        </w:rPr>
        <w:t>, e</w:t>
      </w:r>
      <w:r w:rsidR="00135DA3">
        <w:rPr>
          <w:rFonts w:eastAsia="Times New Roman" w:cs="Times New Roman"/>
          <w:sz w:val="28"/>
          <w:szCs w:val="28"/>
          <w:lang w:eastAsia="es-ES"/>
        </w:rPr>
        <w:t>n</w:t>
      </w:r>
      <w:r>
        <w:rPr>
          <w:rFonts w:eastAsia="Times New Roman" w:cs="Times New Roman"/>
          <w:sz w:val="28"/>
          <w:szCs w:val="28"/>
          <w:lang w:eastAsia="es-ES"/>
        </w:rPr>
        <w:t xml:space="preserve"> determinados municipios del Guadalentín se ubican la mayor parte de las cabezas de ganado de la Región de Murcia.</w:t>
      </w:r>
      <w:r w:rsidR="00135DA3">
        <w:rPr>
          <w:rFonts w:eastAsia="Times New Roman" w:cs="Times New Roman"/>
          <w:sz w:val="28"/>
          <w:szCs w:val="28"/>
          <w:lang w:eastAsia="es-ES"/>
        </w:rPr>
        <w:t xml:space="preserve"> </w:t>
      </w:r>
      <w:r w:rsidR="00FB60A0">
        <w:rPr>
          <w:rFonts w:eastAsia="Times New Roman" w:cs="Times New Roman"/>
          <w:sz w:val="28"/>
          <w:szCs w:val="28"/>
          <w:lang w:eastAsia="es-ES"/>
        </w:rPr>
        <w:t xml:space="preserve">Así, en </w:t>
      </w:r>
      <w:r w:rsidR="00135DA3">
        <w:rPr>
          <w:rFonts w:eastAsia="Times New Roman" w:cs="Times New Roman"/>
          <w:sz w:val="28"/>
          <w:szCs w:val="28"/>
          <w:lang w:eastAsia="es-ES"/>
        </w:rPr>
        <w:t>Lorca la especie con mayor n</w:t>
      </w:r>
      <w:r w:rsidR="00F67FB2">
        <w:rPr>
          <w:rFonts w:eastAsia="Times New Roman" w:cs="Times New Roman"/>
          <w:sz w:val="28"/>
          <w:szCs w:val="28"/>
          <w:lang w:eastAsia="es-ES"/>
        </w:rPr>
        <w:t xml:space="preserve">úmero de cabezas es </w:t>
      </w:r>
      <w:r w:rsidR="00F67FB2" w:rsidRPr="006C59C5">
        <w:rPr>
          <w:rFonts w:eastAsia="Times New Roman" w:cs="Times New Roman"/>
          <w:sz w:val="28"/>
          <w:szCs w:val="28"/>
          <w:lang w:eastAsia="es-ES"/>
        </w:rPr>
        <w:t>bovino</w:t>
      </w:r>
      <w:r w:rsidR="00F67FB2">
        <w:rPr>
          <w:rFonts w:eastAsia="Times New Roman" w:cs="Times New Roman"/>
          <w:sz w:val="28"/>
          <w:szCs w:val="28"/>
          <w:lang w:eastAsia="es-ES"/>
        </w:rPr>
        <w:t xml:space="preserve"> </w:t>
      </w:r>
      <w:r w:rsidR="006C59C5">
        <w:rPr>
          <w:rFonts w:eastAsia="Times New Roman" w:cs="Times New Roman"/>
          <w:sz w:val="28"/>
          <w:szCs w:val="28"/>
          <w:lang w:eastAsia="es-ES"/>
        </w:rPr>
        <w:t>con 26.068 unidades (45%) seguido de</w:t>
      </w:r>
      <w:r w:rsidR="00F67FB2">
        <w:rPr>
          <w:rFonts w:eastAsia="Times New Roman" w:cs="Times New Roman"/>
          <w:sz w:val="28"/>
          <w:szCs w:val="28"/>
          <w:lang w:eastAsia="es-ES"/>
        </w:rPr>
        <w:t xml:space="preserve"> conejas madre (31%), porcino (29%), caprino (27%), equino (17%) ovino (12%) y colmenas (7%). En otros municipios como </w:t>
      </w:r>
      <w:proofErr w:type="spellStart"/>
      <w:r w:rsidR="00F67FB2">
        <w:rPr>
          <w:rFonts w:eastAsia="Times New Roman" w:cs="Times New Roman"/>
          <w:sz w:val="28"/>
          <w:szCs w:val="28"/>
          <w:lang w:eastAsia="es-ES"/>
        </w:rPr>
        <w:t>Totana</w:t>
      </w:r>
      <w:proofErr w:type="spellEnd"/>
      <w:r w:rsidR="00F67FB2">
        <w:rPr>
          <w:rFonts w:eastAsia="Times New Roman" w:cs="Times New Roman"/>
          <w:sz w:val="28"/>
          <w:szCs w:val="28"/>
          <w:lang w:eastAsia="es-ES"/>
        </w:rPr>
        <w:t xml:space="preserve"> (que posee el 7% del total del número de cabezas de la región) destaca las conejas madre y las </w:t>
      </w:r>
      <w:r w:rsidR="002E3FC3">
        <w:rPr>
          <w:rFonts w:eastAsia="Times New Roman" w:cs="Times New Roman"/>
          <w:sz w:val="28"/>
          <w:szCs w:val="28"/>
          <w:lang w:eastAsia="es-ES"/>
        </w:rPr>
        <w:t>colmenas (8%), en Puerto Lumbrer</w:t>
      </w:r>
      <w:r w:rsidR="00F67FB2">
        <w:rPr>
          <w:rFonts w:eastAsia="Times New Roman" w:cs="Times New Roman"/>
          <w:sz w:val="28"/>
          <w:szCs w:val="28"/>
          <w:lang w:eastAsia="es-ES"/>
        </w:rPr>
        <w:t xml:space="preserve">as lo hace el caprino (un 10%), y en </w:t>
      </w:r>
      <w:proofErr w:type="spellStart"/>
      <w:r w:rsidR="00F67FB2">
        <w:rPr>
          <w:rFonts w:eastAsia="Times New Roman" w:cs="Times New Roman"/>
          <w:sz w:val="28"/>
          <w:szCs w:val="28"/>
          <w:lang w:eastAsia="es-ES"/>
        </w:rPr>
        <w:t>Aledo</w:t>
      </w:r>
      <w:proofErr w:type="spellEnd"/>
      <w:r w:rsidR="00F67FB2">
        <w:rPr>
          <w:rFonts w:eastAsia="Times New Roman" w:cs="Times New Roman"/>
          <w:sz w:val="28"/>
          <w:szCs w:val="28"/>
          <w:lang w:eastAsia="es-ES"/>
        </w:rPr>
        <w:t xml:space="preserve"> las aves de corral (aunque no llega a suponer el 1% del total de la región). </w:t>
      </w:r>
    </w:p>
    <w:p w:rsidR="00FB60A0" w:rsidRDefault="00FB60A0" w:rsidP="00A62ACB">
      <w:pPr>
        <w:spacing w:after="0" w:line="240" w:lineRule="auto"/>
        <w:jc w:val="both"/>
        <w:rPr>
          <w:rFonts w:eastAsia="Times New Roman" w:cs="Times New Roman"/>
          <w:sz w:val="28"/>
          <w:szCs w:val="28"/>
          <w:lang w:eastAsia="es-ES"/>
        </w:rPr>
      </w:pPr>
    </w:p>
    <w:p w:rsidR="00FB60A0" w:rsidRDefault="00FB60A0" w:rsidP="00A62ACB">
      <w:pPr>
        <w:spacing w:after="0" w:line="240" w:lineRule="auto"/>
        <w:jc w:val="both"/>
        <w:rPr>
          <w:rFonts w:eastAsia="Times New Roman" w:cs="Times New Roman"/>
          <w:sz w:val="28"/>
          <w:szCs w:val="28"/>
          <w:lang w:eastAsia="es-ES"/>
        </w:rPr>
      </w:pPr>
      <w:r>
        <w:rPr>
          <w:rFonts w:eastAsia="Times New Roman" w:cs="Times New Roman"/>
          <w:sz w:val="28"/>
          <w:szCs w:val="28"/>
          <w:lang w:eastAsia="es-ES"/>
        </w:rPr>
        <w:t xml:space="preserve">Por tanto, en términos agregados la Subcomarca compuesta por Lorca, Puerto Lumbreras, </w:t>
      </w:r>
      <w:proofErr w:type="spellStart"/>
      <w:r>
        <w:rPr>
          <w:rFonts w:eastAsia="Times New Roman" w:cs="Times New Roman"/>
          <w:sz w:val="28"/>
          <w:szCs w:val="28"/>
          <w:lang w:eastAsia="es-ES"/>
        </w:rPr>
        <w:t>Totana</w:t>
      </w:r>
      <w:proofErr w:type="spellEnd"/>
      <w:r>
        <w:rPr>
          <w:rFonts w:eastAsia="Times New Roman" w:cs="Times New Roman"/>
          <w:sz w:val="28"/>
          <w:szCs w:val="28"/>
          <w:lang w:eastAsia="es-ES"/>
        </w:rPr>
        <w:t xml:space="preserve"> y Alhama suma aproximadamente la mitad regional de cabezas de ganado bovino (28.746) y caprino (67.156), 4 de cada diez cabezas porcinas (663.327) y de conejos (1.083.989), con una cuota más reducida en las restantes cabañas.</w:t>
      </w:r>
    </w:p>
    <w:p w:rsidR="0045371B" w:rsidRPr="0045371B" w:rsidRDefault="0045371B" w:rsidP="0045371B">
      <w:pPr>
        <w:spacing w:after="0" w:line="240" w:lineRule="auto"/>
        <w:rPr>
          <w:rFonts w:eastAsia="Times New Roman" w:cs="Times New Roman"/>
          <w:sz w:val="28"/>
          <w:szCs w:val="28"/>
          <w:u w:val="single"/>
          <w:lang w:eastAsia="es-ES"/>
        </w:rPr>
      </w:pPr>
    </w:p>
    <w:p w:rsidR="00D30150" w:rsidRPr="00D30150" w:rsidRDefault="00FB60A0" w:rsidP="00FB60A0">
      <w:pPr>
        <w:rPr>
          <w:rFonts w:eastAsia="Times New Roman" w:cs="Times New Roman"/>
          <w:i/>
          <w:sz w:val="18"/>
          <w:szCs w:val="18"/>
          <w:lang w:eastAsia="es-ES"/>
        </w:rPr>
      </w:pPr>
      <w:r w:rsidRPr="00FB60A0">
        <w:drawing>
          <wp:inline distT="0" distB="0" distL="0" distR="0" wp14:anchorId="395403A7" wp14:editId="671CEBBE">
            <wp:extent cx="5400040" cy="2685921"/>
            <wp:effectExtent l="0" t="0" r="0"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2685921"/>
                    </a:xfrm>
                    <a:prstGeom prst="rect">
                      <a:avLst/>
                    </a:prstGeom>
                    <a:noFill/>
                    <a:ln>
                      <a:noFill/>
                    </a:ln>
                  </pic:spPr>
                </pic:pic>
              </a:graphicData>
            </a:graphic>
          </wp:inline>
        </w:drawing>
      </w:r>
      <w:r w:rsidR="00D30150" w:rsidRPr="00D30150">
        <w:rPr>
          <w:rFonts w:eastAsia="Times New Roman" w:cs="Times New Roman"/>
          <w:i/>
          <w:sz w:val="18"/>
          <w:szCs w:val="18"/>
          <w:lang w:eastAsia="es-ES"/>
        </w:rPr>
        <w:t>Fuente: Elaboración Propia a través de Censo Agrario</w:t>
      </w:r>
    </w:p>
    <w:p w:rsidR="00D30150" w:rsidRDefault="00D30150" w:rsidP="00FB60A0">
      <w:pPr>
        <w:spacing w:after="0" w:line="240" w:lineRule="auto"/>
        <w:ind w:left="709"/>
        <w:rPr>
          <w:rFonts w:eastAsia="Times New Roman" w:cs="Times New Roman"/>
          <w:sz w:val="28"/>
          <w:szCs w:val="28"/>
          <w:lang w:eastAsia="es-ES"/>
        </w:rPr>
      </w:pPr>
    </w:p>
    <w:p w:rsidR="009243C3" w:rsidRDefault="009243C3" w:rsidP="00D30150">
      <w:pPr>
        <w:spacing w:after="0" w:line="240" w:lineRule="auto"/>
        <w:ind w:left="709"/>
        <w:jc w:val="center"/>
        <w:rPr>
          <w:rFonts w:eastAsia="Times New Roman" w:cs="Times New Roman"/>
          <w:sz w:val="28"/>
          <w:szCs w:val="28"/>
          <w:lang w:eastAsia="es-ES"/>
        </w:rPr>
      </w:pPr>
    </w:p>
    <w:p w:rsidR="009243C3" w:rsidRDefault="009243C3" w:rsidP="00D30150">
      <w:pPr>
        <w:spacing w:after="0" w:line="240" w:lineRule="auto"/>
        <w:ind w:left="709"/>
        <w:jc w:val="center"/>
        <w:rPr>
          <w:rFonts w:eastAsia="Times New Roman" w:cs="Times New Roman"/>
          <w:sz w:val="28"/>
          <w:szCs w:val="28"/>
          <w:lang w:eastAsia="es-ES"/>
        </w:rPr>
      </w:pPr>
    </w:p>
    <w:p w:rsidR="00D30150" w:rsidRPr="007C0986" w:rsidRDefault="00D30150" w:rsidP="00D30150">
      <w:pPr>
        <w:spacing w:after="0" w:line="240" w:lineRule="auto"/>
        <w:ind w:left="709"/>
        <w:rPr>
          <w:rFonts w:eastAsia="Times New Roman" w:cs="Times New Roman"/>
          <w:sz w:val="28"/>
          <w:szCs w:val="28"/>
          <w:lang w:eastAsia="es-ES"/>
        </w:rPr>
      </w:pPr>
    </w:p>
    <w:sectPr w:rsidR="00D30150" w:rsidRPr="007C0986" w:rsidSect="000D438C">
      <w:footerReference w:type="default" r:id="rId13"/>
      <w:headerReference w:type="first" r:id="rId14"/>
      <w:pgSz w:w="11906" w:h="16838"/>
      <w:pgMar w:top="1417" w:right="1701" w:bottom="1418"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2F3" w:rsidRDefault="009572F3" w:rsidP="009572F3">
      <w:pPr>
        <w:spacing w:after="0" w:line="240" w:lineRule="auto"/>
      </w:pPr>
      <w:r>
        <w:separator/>
      </w:r>
    </w:p>
  </w:endnote>
  <w:endnote w:type="continuationSeparator" w:id="0">
    <w:p w:rsidR="009572F3" w:rsidRDefault="009572F3" w:rsidP="00957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071861"/>
      <w:docPartObj>
        <w:docPartGallery w:val="Page Numbers (Bottom of Page)"/>
        <w:docPartUnique/>
      </w:docPartObj>
    </w:sdtPr>
    <w:sdtEndPr/>
    <w:sdtContent>
      <w:p w:rsidR="00023D17" w:rsidRDefault="00023D17">
        <w:pPr>
          <w:pStyle w:val="Piedepgina"/>
          <w:jc w:val="right"/>
        </w:pPr>
        <w:r>
          <w:fldChar w:fldCharType="begin"/>
        </w:r>
        <w:r>
          <w:instrText>PAGE   \* MERGEFORMAT</w:instrText>
        </w:r>
        <w:r>
          <w:fldChar w:fldCharType="separate"/>
        </w:r>
        <w:r w:rsidR="00FB60A0">
          <w:rPr>
            <w:noProof/>
          </w:rPr>
          <w:t>2</w:t>
        </w:r>
        <w:r>
          <w:fldChar w:fldCharType="end"/>
        </w:r>
      </w:p>
    </w:sdtContent>
  </w:sdt>
  <w:p w:rsidR="00023D17" w:rsidRDefault="00023D1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2F3" w:rsidRDefault="009572F3" w:rsidP="009572F3">
      <w:pPr>
        <w:spacing w:after="0" w:line="240" w:lineRule="auto"/>
      </w:pPr>
      <w:r>
        <w:separator/>
      </w:r>
    </w:p>
  </w:footnote>
  <w:footnote w:type="continuationSeparator" w:id="0">
    <w:p w:rsidR="009572F3" w:rsidRDefault="009572F3" w:rsidP="009572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F3E" w:rsidRDefault="00E42F3E">
    <w:pPr>
      <w:pStyle w:val="Encabezado"/>
    </w:pPr>
    <w:r>
      <w:rPr>
        <w:noProof/>
        <w:lang w:eastAsia="es-ES"/>
      </w:rPr>
      <w:drawing>
        <wp:inline distT="0" distB="0" distL="0" distR="0" wp14:anchorId="2EDBF36E" wp14:editId="4716898B">
          <wp:extent cx="2827398" cy="1072055"/>
          <wp:effectExtent l="0" t="0" r="0" b="0"/>
          <wp:docPr id="1" name="Imagen 1" descr="O:\CROEM-E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CROEM-E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7398" cy="107205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561AB"/>
    <w:multiLevelType w:val="hybridMultilevel"/>
    <w:tmpl w:val="2DA0B4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8AD037B"/>
    <w:multiLevelType w:val="hybridMultilevel"/>
    <w:tmpl w:val="8EDC15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D99276C"/>
    <w:multiLevelType w:val="hybridMultilevel"/>
    <w:tmpl w:val="D84A09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BD97025"/>
    <w:multiLevelType w:val="hybridMultilevel"/>
    <w:tmpl w:val="05862C98"/>
    <w:lvl w:ilvl="0" w:tplc="0C0A0001">
      <w:start w:val="1"/>
      <w:numFmt w:val="bullet"/>
      <w:lvlText w:val=""/>
      <w:lvlJc w:val="left"/>
      <w:pPr>
        <w:ind w:left="791" w:hanging="360"/>
      </w:pPr>
      <w:rPr>
        <w:rFonts w:ascii="Symbol" w:hAnsi="Symbol" w:hint="default"/>
      </w:rPr>
    </w:lvl>
    <w:lvl w:ilvl="1" w:tplc="0C0A0003" w:tentative="1">
      <w:start w:val="1"/>
      <w:numFmt w:val="bullet"/>
      <w:lvlText w:val="o"/>
      <w:lvlJc w:val="left"/>
      <w:pPr>
        <w:ind w:left="1511" w:hanging="360"/>
      </w:pPr>
      <w:rPr>
        <w:rFonts w:ascii="Courier New" w:hAnsi="Courier New" w:cs="Courier New" w:hint="default"/>
      </w:rPr>
    </w:lvl>
    <w:lvl w:ilvl="2" w:tplc="0C0A0005" w:tentative="1">
      <w:start w:val="1"/>
      <w:numFmt w:val="bullet"/>
      <w:lvlText w:val=""/>
      <w:lvlJc w:val="left"/>
      <w:pPr>
        <w:ind w:left="2231" w:hanging="360"/>
      </w:pPr>
      <w:rPr>
        <w:rFonts w:ascii="Wingdings" w:hAnsi="Wingdings" w:hint="default"/>
      </w:rPr>
    </w:lvl>
    <w:lvl w:ilvl="3" w:tplc="0C0A0001" w:tentative="1">
      <w:start w:val="1"/>
      <w:numFmt w:val="bullet"/>
      <w:lvlText w:val=""/>
      <w:lvlJc w:val="left"/>
      <w:pPr>
        <w:ind w:left="2951" w:hanging="360"/>
      </w:pPr>
      <w:rPr>
        <w:rFonts w:ascii="Symbol" w:hAnsi="Symbol" w:hint="default"/>
      </w:rPr>
    </w:lvl>
    <w:lvl w:ilvl="4" w:tplc="0C0A0003" w:tentative="1">
      <w:start w:val="1"/>
      <w:numFmt w:val="bullet"/>
      <w:lvlText w:val="o"/>
      <w:lvlJc w:val="left"/>
      <w:pPr>
        <w:ind w:left="3671" w:hanging="360"/>
      </w:pPr>
      <w:rPr>
        <w:rFonts w:ascii="Courier New" w:hAnsi="Courier New" w:cs="Courier New" w:hint="default"/>
      </w:rPr>
    </w:lvl>
    <w:lvl w:ilvl="5" w:tplc="0C0A0005" w:tentative="1">
      <w:start w:val="1"/>
      <w:numFmt w:val="bullet"/>
      <w:lvlText w:val=""/>
      <w:lvlJc w:val="left"/>
      <w:pPr>
        <w:ind w:left="4391" w:hanging="360"/>
      </w:pPr>
      <w:rPr>
        <w:rFonts w:ascii="Wingdings" w:hAnsi="Wingdings" w:hint="default"/>
      </w:rPr>
    </w:lvl>
    <w:lvl w:ilvl="6" w:tplc="0C0A0001" w:tentative="1">
      <w:start w:val="1"/>
      <w:numFmt w:val="bullet"/>
      <w:lvlText w:val=""/>
      <w:lvlJc w:val="left"/>
      <w:pPr>
        <w:ind w:left="5111" w:hanging="360"/>
      </w:pPr>
      <w:rPr>
        <w:rFonts w:ascii="Symbol" w:hAnsi="Symbol" w:hint="default"/>
      </w:rPr>
    </w:lvl>
    <w:lvl w:ilvl="7" w:tplc="0C0A0003" w:tentative="1">
      <w:start w:val="1"/>
      <w:numFmt w:val="bullet"/>
      <w:lvlText w:val="o"/>
      <w:lvlJc w:val="left"/>
      <w:pPr>
        <w:ind w:left="5831" w:hanging="360"/>
      </w:pPr>
      <w:rPr>
        <w:rFonts w:ascii="Courier New" w:hAnsi="Courier New" w:cs="Courier New" w:hint="default"/>
      </w:rPr>
    </w:lvl>
    <w:lvl w:ilvl="8" w:tplc="0C0A0005" w:tentative="1">
      <w:start w:val="1"/>
      <w:numFmt w:val="bullet"/>
      <w:lvlText w:val=""/>
      <w:lvlJc w:val="left"/>
      <w:pPr>
        <w:ind w:left="6551" w:hanging="360"/>
      </w:pPr>
      <w:rPr>
        <w:rFonts w:ascii="Wingdings" w:hAnsi="Wingdings" w:hint="default"/>
      </w:rPr>
    </w:lvl>
  </w:abstractNum>
  <w:abstractNum w:abstractNumId="4">
    <w:nsid w:val="3A0058A5"/>
    <w:multiLevelType w:val="hybridMultilevel"/>
    <w:tmpl w:val="1A6290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3ACC6F54"/>
    <w:multiLevelType w:val="hybridMultilevel"/>
    <w:tmpl w:val="7604EA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1812391"/>
    <w:multiLevelType w:val="hybridMultilevel"/>
    <w:tmpl w:val="77C648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1DC3214"/>
    <w:multiLevelType w:val="hybridMultilevel"/>
    <w:tmpl w:val="ACC0B2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7935A88"/>
    <w:multiLevelType w:val="hybridMultilevel"/>
    <w:tmpl w:val="AE7C55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BD36F7E"/>
    <w:multiLevelType w:val="multilevel"/>
    <w:tmpl w:val="17FA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524243"/>
    <w:multiLevelType w:val="hybridMultilevel"/>
    <w:tmpl w:val="653C25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77ED114A"/>
    <w:multiLevelType w:val="hybridMultilevel"/>
    <w:tmpl w:val="8E62D7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4"/>
  </w:num>
  <w:num w:numId="5">
    <w:abstractNumId w:val="7"/>
  </w:num>
  <w:num w:numId="6">
    <w:abstractNumId w:val="1"/>
  </w:num>
  <w:num w:numId="7">
    <w:abstractNumId w:val="8"/>
  </w:num>
  <w:num w:numId="8">
    <w:abstractNumId w:val="5"/>
  </w:num>
  <w:num w:numId="9">
    <w:abstractNumId w:val="11"/>
  </w:num>
  <w:num w:numId="10">
    <w:abstractNumId w:val="9"/>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BB4"/>
    <w:rsid w:val="000159C9"/>
    <w:rsid w:val="00021546"/>
    <w:rsid w:val="00023D17"/>
    <w:rsid w:val="00063943"/>
    <w:rsid w:val="000D438C"/>
    <w:rsid w:val="000D7D55"/>
    <w:rsid w:val="0011367D"/>
    <w:rsid w:val="00135DA3"/>
    <w:rsid w:val="0013703E"/>
    <w:rsid w:val="00137FA4"/>
    <w:rsid w:val="00146CF9"/>
    <w:rsid w:val="0015196A"/>
    <w:rsid w:val="00172CE4"/>
    <w:rsid w:val="001941DB"/>
    <w:rsid w:val="001C162B"/>
    <w:rsid w:val="001D057A"/>
    <w:rsid w:val="001D5029"/>
    <w:rsid w:val="00297808"/>
    <w:rsid w:val="002B47DC"/>
    <w:rsid w:val="002B7FC4"/>
    <w:rsid w:val="002E3FC3"/>
    <w:rsid w:val="002F3206"/>
    <w:rsid w:val="003309F4"/>
    <w:rsid w:val="00342868"/>
    <w:rsid w:val="003601B7"/>
    <w:rsid w:val="00370F04"/>
    <w:rsid w:val="00384D91"/>
    <w:rsid w:val="003D5D40"/>
    <w:rsid w:val="003F6EB5"/>
    <w:rsid w:val="0040749F"/>
    <w:rsid w:val="00413A28"/>
    <w:rsid w:val="00434B6C"/>
    <w:rsid w:val="0045371B"/>
    <w:rsid w:val="00457367"/>
    <w:rsid w:val="00491C74"/>
    <w:rsid w:val="004963D9"/>
    <w:rsid w:val="004B531F"/>
    <w:rsid w:val="004E2E0F"/>
    <w:rsid w:val="004E783C"/>
    <w:rsid w:val="00520B86"/>
    <w:rsid w:val="005368E5"/>
    <w:rsid w:val="00593C63"/>
    <w:rsid w:val="005A40A3"/>
    <w:rsid w:val="005E4323"/>
    <w:rsid w:val="005F43A5"/>
    <w:rsid w:val="00640BD6"/>
    <w:rsid w:val="00671959"/>
    <w:rsid w:val="00672EBF"/>
    <w:rsid w:val="006B03C1"/>
    <w:rsid w:val="006C59C5"/>
    <w:rsid w:val="006D151F"/>
    <w:rsid w:val="007138F0"/>
    <w:rsid w:val="00726B00"/>
    <w:rsid w:val="00763F39"/>
    <w:rsid w:val="00773E76"/>
    <w:rsid w:val="007B7248"/>
    <w:rsid w:val="007C0986"/>
    <w:rsid w:val="007D090D"/>
    <w:rsid w:val="007D3927"/>
    <w:rsid w:val="007F1333"/>
    <w:rsid w:val="00851130"/>
    <w:rsid w:val="00875074"/>
    <w:rsid w:val="008A2516"/>
    <w:rsid w:val="008C78B0"/>
    <w:rsid w:val="008F4992"/>
    <w:rsid w:val="009243C3"/>
    <w:rsid w:val="00930C10"/>
    <w:rsid w:val="009572F3"/>
    <w:rsid w:val="00971762"/>
    <w:rsid w:val="009A050F"/>
    <w:rsid w:val="009D6106"/>
    <w:rsid w:val="00A107E7"/>
    <w:rsid w:val="00A124FC"/>
    <w:rsid w:val="00A14757"/>
    <w:rsid w:val="00A62ACB"/>
    <w:rsid w:val="00A90ED6"/>
    <w:rsid w:val="00AB5E38"/>
    <w:rsid w:val="00AC0E5E"/>
    <w:rsid w:val="00AC7C75"/>
    <w:rsid w:val="00B013F0"/>
    <w:rsid w:val="00B51C21"/>
    <w:rsid w:val="00B61E9E"/>
    <w:rsid w:val="00B65897"/>
    <w:rsid w:val="00B77504"/>
    <w:rsid w:val="00B95AC1"/>
    <w:rsid w:val="00C0472F"/>
    <w:rsid w:val="00C11742"/>
    <w:rsid w:val="00C33068"/>
    <w:rsid w:val="00C34F2D"/>
    <w:rsid w:val="00C84614"/>
    <w:rsid w:val="00CC493F"/>
    <w:rsid w:val="00CF765F"/>
    <w:rsid w:val="00D30150"/>
    <w:rsid w:val="00D77C14"/>
    <w:rsid w:val="00DA2E41"/>
    <w:rsid w:val="00DA5D3B"/>
    <w:rsid w:val="00DE49F8"/>
    <w:rsid w:val="00E0026A"/>
    <w:rsid w:val="00E12B58"/>
    <w:rsid w:val="00E42F3E"/>
    <w:rsid w:val="00E47CD5"/>
    <w:rsid w:val="00E7061E"/>
    <w:rsid w:val="00F10D4D"/>
    <w:rsid w:val="00F2271A"/>
    <w:rsid w:val="00F527BF"/>
    <w:rsid w:val="00F67F7E"/>
    <w:rsid w:val="00F67FB2"/>
    <w:rsid w:val="00F73698"/>
    <w:rsid w:val="00F92B3D"/>
    <w:rsid w:val="00F934AA"/>
    <w:rsid w:val="00FB1BB4"/>
    <w:rsid w:val="00FB60A0"/>
    <w:rsid w:val="00FD4C30"/>
    <w:rsid w:val="00FE46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9D6106"/>
    <w:pPr>
      <w:autoSpaceDE w:val="0"/>
      <w:autoSpaceDN w:val="0"/>
      <w:adjustRightInd w:val="0"/>
      <w:spacing w:after="0" w:line="240" w:lineRule="auto"/>
    </w:pPr>
    <w:rPr>
      <w:rFonts w:ascii="Times New Roman" w:hAnsi="Times New Roman" w:cs="Times New Roman"/>
      <w:color w:val="000000"/>
      <w:sz w:val="24"/>
      <w:szCs w:val="24"/>
    </w:rPr>
  </w:style>
  <w:style w:type="paragraph" w:styleId="Encabezado">
    <w:name w:val="header"/>
    <w:basedOn w:val="Normal"/>
    <w:link w:val="EncabezadoCar"/>
    <w:uiPriority w:val="99"/>
    <w:unhideWhenUsed/>
    <w:rsid w:val="009572F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572F3"/>
  </w:style>
  <w:style w:type="paragraph" w:styleId="Piedepgina">
    <w:name w:val="footer"/>
    <w:basedOn w:val="Normal"/>
    <w:link w:val="PiedepginaCar"/>
    <w:uiPriority w:val="99"/>
    <w:unhideWhenUsed/>
    <w:rsid w:val="009572F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572F3"/>
  </w:style>
  <w:style w:type="paragraph" w:styleId="Textodeglobo">
    <w:name w:val="Balloon Text"/>
    <w:basedOn w:val="Normal"/>
    <w:link w:val="TextodegloboCar"/>
    <w:uiPriority w:val="99"/>
    <w:semiHidden/>
    <w:unhideWhenUsed/>
    <w:rsid w:val="009572F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572F3"/>
    <w:rPr>
      <w:rFonts w:ascii="Tahoma" w:hAnsi="Tahoma" w:cs="Tahoma"/>
      <w:sz w:val="16"/>
      <w:szCs w:val="16"/>
    </w:rPr>
  </w:style>
  <w:style w:type="paragraph" w:styleId="Prrafodelista">
    <w:name w:val="List Paragraph"/>
    <w:basedOn w:val="Normal"/>
    <w:uiPriority w:val="34"/>
    <w:qFormat/>
    <w:rsid w:val="00342868"/>
    <w:pPr>
      <w:ind w:left="720"/>
      <w:contextualSpacing/>
    </w:pPr>
  </w:style>
  <w:style w:type="character" w:styleId="Refdenotaalpie">
    <w:name w:val="footnote reference"/>
    <w:uiPriority w:val="99"/>
    <w:semiHidden/>
    <w:rsid w:val="00342868"/>
    <w:rPr>
      <w:vertAlign w:val="superscript"/>
    </w:rPr>
  </w:style>
  <w:style w:type="character" w:styleId="Hipervnculo">
    <w:name w:val="Hyperlink"/>
    <w:basedOn w:val="Fuentedeprrafopredeter"/>
    <w:uiPriority w:val="99"/>
    <w:unhideWhenUsed/>
    <w:rsid w:val="00342868"/>
    <w:rPr>
      <w:color w:val="0000FF" w:themeColor="hyperlink"/>
      <w:u w:val="single"/>
    </w:rPr>
  </w:style>
  <w:style w:type="paragraph" w:styleId="Textonotapie">
    <w:name w:val="footnote text"/>
    <w:basedOn w:val="Normal"/>
    <w:link w:val="TextonotapieCar"/>
    <w:uiPriority w:val="99"/>
    <w:semiHidden/>
    <w:unhideWhenUsed/>
    <w:qFormat/>
    <w:rsid w:val="00342868"/>
    <w:pPr>
      <w:spacing w:after="0" w:line="240" w:lineRule="auto"/>
    </w:pPr>
    <w:rPr>
      <w:rFonts w:ascii="Verdana" w:eastAsia="Times New Roman" w:hAnsi="Verdana" w:cs="Times New Roman"/>
      <w:sz w:val="20"/>
      <w:szCs w:val="20"/>
      <w:lang w:eastAsia="es-ES"/>
    </w:rPr>
  </w:style>
  <w:style w:type="character" w:customStyle="1" w:styleId="TextonotapieCar">
    <w:name w:val="Texto nota pie Car"/>
    <w:basedOn w:val="Fuentedeprrafopredeter"/>
    <w:link w:val="Textonotapie"/>
    <w:uiPriority w:val="99"/>
    <w:semiHidden/>
    <w:rsid w:val="00342868"/>
    <w:rPr>
      <w:rFonts w:ascii="Verdana" w:eastAsia="Times New Roman" w:hAnsi="Verdana" w:cs="Times New Roman"/>
      <w:sz w:val="20"/>
      <w:szCs w:val="20"/>
      <w:lang w:eastAsia="es-ES"/>
    </w:rPr>
  </w:style>
  <w:style w:type="character" w:styleId="Hipervnculovisitado">
    <w:name w:val="FollowedHyperlink"/>
    <w:basedOn w:val="Fuentedeprrafopredeter"/>
    <w:uiPriority w:val="99"/>
    <w:semiHidden/>
    <w:unhideWhenUsed/>
    <w:rsid w:val="00342868"/>
    <w:rPr>
      <w:color w:val="800080" w:themeColor="followedHyperlink"/>
      <w:u w:val="single"/>
    </w:rPr>
  </w:style>
  <w:style w:type="character" w:customStyle="1" w:styleId="apple-converted-space">
    <w:name w:val="apple-converted-space"/>
    <w:basedOn w:val="Fuentedeprrafopredeter"/>
    <w:rsid w:val="000D438C"/>
  </w:style>
  <w:style w:type="paragraph" w:styleId="NormalWeb">
    <w:name w:val="Normal (Web)"/>
    <w:basedOn w:val="Normal"/>
    <w:uiPriority w:val="99"/>
    <w:unhideWhenUsed/>
    <w:rsid w:val="000D438C"/>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9D6106"/>
    <w:pPr>
      <w:autoSpaceDE w:val="0"/>
      <w:autoSpaceDN w:val="0"/>
      <w:adjustRightInd w:val="0"/>
      <w:spacing w:after="0" w:line="240" w:lineRule="auto"/>
    </w:pPr>
    <w:rPr>
      <w:rFonts w:ascii="Times New Roman" w:hAnsi="Times New Roman" w:cs="Times New Roman"/>
      <w:color w:val="000000"/>
      <w:sz w:val="24"/>
      <w:szCs w:val="24"/>
    </w:rPr>
  </w:style>
  <w:style w:type="paragraph" w:styleId="Encabezado">
    <w:name w:val="header"/>
    <w:basedOn w:val="Normal"/>
    <w:link w:val="EncabezadoCar"/>
    <w:uiPriority w:val="99"/>
    <w:unhideWhenUsed/>
    <w:rsid w:val="009572F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572F3"/>
  </w:style>
  <w:style w:type="paragraph" w:styleId="Piedepgina">
    <w:name w:val="footer"/>
    <w:basedOn w:val="Normal"/>
    <w:link w:val="PiedepginaCar"/>
    <w:uiPriority w:val="99"/>
    <w:unhideWhenUsed/>
    <w:rsid w:val="009572F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572F3"/>
  </w:style>
  <w:style w:type="paragraph" w:styleId="Textodeglobo">
    <w:name w:val="Balloon Text"/>
    <w:basedOn w:val="Normal"/>
    <w:link w:val="TextodegloboCar"/>
    <w:uiPriority w:val="99"/>
    <w:semiHidden/>
    <w:unhideWhenUsed/>
    <w:rsid w:val="009572F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572F3"/>
    <w:rPr>
      <w:rFonts w:ascii="Tahoma" w:hAnsi="Tahoma" w:cs="Tahoma"/>
      <w:sz w:val="16"/>
      <w:szCs w:val="16"/>
    </w:rPr>
  </w:style>
  <w:style w:type="paragraph" w:styleId="Prrafodelista">
    <w:name w:val="List Paragraph"/>
    <w:basedOn w:val="Normal"/>
    <w:uiPriority w:val="34"/>
    <w:qFormat/>
    <w:rsid w:val="00342868"/>
    <w:pPr>
      <w:ind w:left="720"/>
      <w:contextualSpacing/>
    </w:pPr>
  </w:style>
  <w:style w:type="character" w:styleId="Refdenotaalpie">
    <w:name w:val="footnote reference"/>
    <w:uiPriority w:val="99"/>
    <w:semiHidden/>
    <w:rsid w:val="00342868"/>
    <w:rPr>
      <w:vertAlign w:val="superscript"/>
    </w:rPr>
  </w:style>
  <w:style w:type="character" w:styleId="Hipervnculo">
    <w:name w:val="Hyperlink"/>
    <w:basedOn w:val="Fuentedeprrafopredeter"/>
    <w:uiPriority w:val="99"/>
    <w:unhideWhenUsed/>
    <w:rsid w:val="00342868"/>
    <w:rPr>
      <w:color w:val="0000FF" w:themeColor="hyperlink"/>
      <w:u w:val="single"/>
    </w:rPr>
  </w:style>
  <w:style w:type="paragraph" w:styleId="Textonotapie">
    <w:name w:val="footnote text"/>
    <w:basedOn w:val="Normal"/>
    <w:link w:val="TextonotapieCar"/>
    <w:uiPriority w:val="99"/>
    <w:semiHidden/>
    <w:unhideWhenUsed/>
    <w:qFormat/>
    <w:rsid w:val="00342868"/>
    <w:pPr>
      <w:spacing w:after="0" w:line="240" w:lineRule="auto"/>
    </w:pPr>
    <w:rPr>
      <w:rFonts w:ascii="Verdana" w:eastAsia="Times New Roman" w:hAnsi="Verdana" w:cs="Times New Roman"/>
      <w:sz w:val="20"/>
      <w:szCs w:val="20"/>
      <w:lang w:eastAsia="es-ES"/>
    </w:rPr>
  </w:style>
  <w:style w:type="character" w:customStyle="1" w:styleId="TextonotapieCar">
    <w:name w:val="Texto nota pie Car"/>
    <w:basedOn w:val="Fuentedeprrafopredeter"/>
    <w:link w:val="Textonotapie"/>
    <w:uiPriority w:val="99"/>
    <w:semiHidden/>
    <w:rsid w:val="00342868"/>
    <w:rPr>
      <w:rFonts w:ascii="Verdana" w:eastAsia="Times New Roman" w:hAnsi="Verdana" w:cs="Times New Roman"/>
      <w:sz w:val="20"/>
      <w:szCs w:val="20"/>
      <w:lang w:eastAsia="es-ES"/>
    </w:rPr>
  </w:style>
  <w:style w:type="character" w:styleId="Hipervnculovisitado">
    <w:name w:val="FollowedHyperlink"/>
    <w:basedOn w:val="Fuentedeprrafopredeter"/>
    <w:uiPriority w:val="99"/>
    <w:semiHidden/>
    <w:unhideWhenUsed/>
    <w:rsid w:val="00342868"/>
    <w:rPr>
      <w:color w:val="800080" w:themeColor="followedHyperlink"/>
      <w:u w:val="single"/>
    </w:rPr>
  </w:style>
  <w:style w:type="character" w:customStyle="1" w:styleId="apple-converted-space">
    <w:name w:val="apple-converted-space"/>
    <w:basedOn w:val="Fuentedeprrafopredeter"/>
    <w:rsid w:val="000D438C"/>
  </w:style>
  <w:style w:type="paragraph" w:styleId="NormalWeb">
    <w:name w:val="Normal (Web)"/>
    <w:basedOn w:val="Normal"/>
    <w:uiPriority w:val="99"/>
    <w:unhideWhenUsed/>
    <w:rsid w:val="000D438C"/>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404284">
      <w:bodyDiv w:val="1"/>
      <w:marLeft w:val="0"/>
      <w:marRight w:val="0"/>
      <w:marTop w:val="0"/>
      <w:marBottom w:val="0"/>
      <w:divBdr>
        <w:top w:val="none" w:sz="0" w:space="0" w:color="auto"/>
        <w:left w:val="none" w:sz="0" w:space="0" w:color="auto"/>
        <w:bottom w:val="none" w:sz="0" w:space="0" w:color="auto"/>
        <w:right w:val="none" w:sz="0" w:space="0" w:color="auto"/>
      </w:divBdr>
    </w:div>
    <w:div w:id="606471256">
      <w:bodyDiv w:val="1"/>
      <w:marLeft w:val="0"/>
      <w:marRight w:val="0"/>
      <w:marTop w:val="0"/>
      <w:marBottom w:val="0"/>
      <w:divBdr>
        <w:top w:val="none" w:sz="0" w:space="0" w:color="auto"/>
        <w:left w:val="none" w:sz="0" w:space="0" w:color="auto"/>
        <w:bottom w:val="none" w:sz="0" w:space="0" w:color="auto"/>
        <w:right w:val="none" w:sz="0" w:space="0" w:color="auto"/>
      </w:divBdr>
    </w:div>
    <w:div w:id="792945810">
      <w:bodyDiv w:val="1"/>
      <w:marLeft w:val="0"/>
      <w:marRight w:val="0"/>
      <w:marTop w:val="0"/>
      <w:marBottom w:val="0"/>
      <w:divBdr>
        <w:top w:val="none" w:sz="0" w:space="0" w:color="auto"/>
        <w:left w:val="none" w:sz="0" w:space="0" w:color="auto"/>
        <w:bottom w:val="none" w:sz="0" w:space="0" w:color="auto"/>
        <w:right w:val="none" w:sz="0" w:space="0" w:color="auto"/>
      </w:divBdr>
    </w:div>
    <w:div w:id="919867809">
      <w:bodyDiv w:val="1"/>
      <w:marLeft w:val="0"/>
      <w:marRight w:val="0"/>
      <w:marTop w:val="0"/>
      <w:marBottom w:val="0"/>
      <w:divBdr>
        <w:top w:val="none" w:sz="0" w:space="0" w:color="auto"/>
        <w:left w:val="none" w:sz="0" w:space="0" w:color="auto"/>
        <w:bottom w:val="none" w:sz="0" w:space="0" w:color="auto"/>
        <w:right w:val="none" w:sz="0" w:space="0" w:color="auto"/>
      </w:divBdr>
    </w:div>
    <w:div w:id="1245995609">
      <w:bodyDiv w:val="1"/>
      <w:marLeft w:val="0"/>
      <w:marRight w:val="0"/>
      <w:marTop w:val="0"/>
      <w:marBottom w:val="0"/>
      <w:divBdr>
        <w:top w:val="none" w:sz="0" w:space="0" w:color="auto"/>
        <w:left w:val="none" w:sz="0" w:space="0" w:color="auto"/>
        <w:bottom w:val="none" w:sz="0" w:space="0" w:color="auto"/>
        <w:right w:val="none" w:sz="0" w:space="0" w:color="auto"/>
      </w:divBdr>
    </w:div>
    <w:div w:id="1299149489">
      <w:bodyDiv w:val="1"/>
      <w:marLeft w:val="0"/>
      <w:marRight w:val="0"/>
      <w:marTop w:val="0"/>
      <w:marBottom w:val="0"/>
      <w:divBdr>
        <w:top w:val="none" w:sz="0" w:space="0" w:color="auto"/>
        <w:left w:val="none" w:sz="0" w:space="0" w:color="auto"/>
        <w:bottom w:val="none" w:sz="0" w:space="0" w:color="auto"/>
        <w:right w:val="none" w:sz="0" w:space="0" w:color="auto"/>
      </w:divBdr>
    </w:div>
    <w:div w:id="1366784682">
      <w:bodyDiv w:val="1"/>
      <w:marLeft w:val="0"/>
      <w:marRight w:val="0"/>
      <w:marTop w:val="0"/>
      <w:marBottom w:val="0"/>
      <w:divBdr>
        <w:top w:val="none" w:sz="0" w:space="0" w:color="auto"/>
        <w:left w:val="none" w:sz="0" w:space="0" w:color="auto"/>
        <w:bottom w:val="none" w:sz="0" w:space="0" w:color="auto"/>
        <w:right w:val="none" w:sz="0" w:space="0" w:color="auto"/>
      </w:divBdr>
    </w:div>
    <w:div w:id="1421491136">
      <w:bodyDiv w:val="1"/>
      <w:marLeft w:val="0"/>
      <w:marRight w:val="0"/>
      <w:marTop w:val="0"/>
      <w:marBottom w:val="0"/>
      <w:divBdr>
        <w:top w:val="none" w:sz="0" w:space="0" w:color="auto"/>
        <w:left w:val="none" w:sz="0" w:space="0" w:color="auto"/>
        <w:bottom w:val="none" w:sz="0" w:space="0" w:color="auto"/>
        <w:right w:val="none" w:sz="0" w:space="0" w:color="auto"/>
      </w:divBdr>
    </w:div>
    <w:div w:id="1448964172">
      <w:bodyDiv w:val="1"/>
      <w:marLeft w:val="0"/>
      <w:marRight w:val="0"/>
      <w:marTop w:val="0"/>
      <w:marBottom w:val="0"/>
      <w:divBdr>
        <w:top w:val="none" w:sz="0" w:space="0" w:color="auto"/>
        <w:left w:val="none" w:sz="0" w:space="0" w:color="auto"/>
        <w:bottom w:val="none" w:sz="0" w:space="0" w:color="auto"/>
        <w:right w:val="none" w:sz="0" w:space="0" w:color="auto"/>
      </w:divBdr>
    </w:div>
    <w:div w:id="1909613834">
      <w:bodyDiv w:val="1"/>
      <w:marLeft w:val="0"/>
      <w:marRight w:val="0"/>
      <w:marTop w:val="0"/>
      <w:marBottom w:val="0"/>
      <w:divBdr>
        <w:top w:val="none" w:sz="0" w:space="0" w:color="auto"/>
        <w:left w:val="none" w:sz="0" w:space="0" w:color="auto"/>
        <w:bottom w:val="none" w:sz="0" w:space="0" w:color="auto"/>
        <w:right w:val="none" w:sz="0" w:space="0" w:color="auto"/>
      </w:divBdr>
    </w:div>
    <w:div w:id="2093775478">
      <w:bodyDiv w:val="1"/>
      <w:marLeft w:val="0"/>
      <w:marRight w:val="0"/>
      <w:marTop w:val="0"/>
      <w:marBottom w:val="0"/>
      <w:divBdr>
        <w:top w:val="none" w:sz="0" w:space="0" w:color="auto"/>
        <w:left w:val="none" w:sz="0" w:space="0" w:color="auto"/>
        <w:bottom w:val="none" w:sz="0" w:space="0" w:color="auto"/>
        <w:right w:val="none" w:sz="0" w:space="0" w:color="auto"/>
      </w:divBdr>
      <w:divsChild>
        <w:div w:id="305823190">
          <w:marLeft w:val="150"/>
          <w:marRight w:val="0"/>
          <w:marTop w:val="150"/>
          <w:marBottom w:val="300"/>
          <w:divBdr>
            <w:top w:val="none" w:sz="0" w:space="0" w:color="auto"/>
            <w:left w:val="none" w:sz="0" w:space="0" w:color="auto"/>
            <w:bottom w:val="none" w:sz="0" w:space="0" w:color="auto"/>
            <w:right w:val="none" w:sz="0" w:space="0" w:color="auto"/>
          </w:divBdr>
          <w:divsChild>
            <w:div w:id="1901398644">
              <w:marLeft w:val="1650"/>
              <w:marRight w:val="0"/>
              <w:marTop w:val="0"/>
              <w:marBottom w:val="0"/>
              <w:divBdr>
                <w:top w:val="none" w:sz="0" w:space="0" w:color="auto"/>
                <w:left w:val="none" w:sz="0" w:space="0" w:color="auto"/>
                <w:bottom w:val="none" w:sz="0" w:space="0" w:color="auto"/>
                <w:right w:val="none" w:sz="0" w:space="0" w:color="auto"/>
              </w:divBdr>
            </w:div>
          </w:divsChild>
        </w:div>
        <w:div w:id="1341925947">
          <w:marLeft w:val="150"/>
          <w:marRight w:val="0"/>
          <w:marTop w:val="150"/>
          <w:marBottom w:val="300"/>
          <w:divBdr>
            <w:top w:val="none" w:sz="0" w:space="0" w:color="auto"/>
            <w:left w:val="none" w:sz="0" w:space="0" w:color="auto"/>
            <w:bottom w:val="none" w:sz="0" w:space="0" w:color="auto"/>
            <w:right w:val="none" w:sz="0" w:space="0" w:color="auto"/>
          </w:divBdr>
          <w:divsChild>
            <w:div w:id="786779877">
              <w:marLeft w:val="1650"/>
              <w:marRight w:val="0"/>
              <w:marTop w:val="0"/>
              <w:marBottom w:val="0"/>
              <w:divBdr>
                <w:top w:val="none" w:sz="0" w:space="0" w:color="auto"/>
                <w:left w:val="none" w:sz="0" w:space="0" w:color="auto"/>
                <w:bottom w:val="none" w:sz="0" w:space="0" w:color="auto"/>
                <w:right w:val="none" w:sz="0" w:space="0" w:color="auto"/>
              </w:divBdr>
            </w:div>
          </w:divsChild>
        </w:div>
        <w:div w:id="1203791305">
          <w:marLeft w:val="150"/>
          <w:marRight w:val="0"/>
          <w:marTop w:val="150"/>
          <w:marBottom w:val="300"/>
          <w:divBdr>
            <w:top w:val="none" w:sz="0" w:space="0" w:color="auto"/>
            <w:left w:val="none" w:sz="0" w:space="0" w:color="auto"/>
            <w:bottom w:val="none" w:sz="0" w:space="0" w:color="auto"/>
            <w:right w:val="none" w:sz="0" w:space="0" w:color="auto"/>
          </w:divBdr>
          <w:divsChild>
            <w:div w:id="609045207">
              <w:marLeft w:val="1650"/>
              <w:marRight w:val="0"/>
              <w:marTop w:val="0"/>
              <w:marBottom w:val="0"/>
              <w:divBdr>
                <w:top w:val="none" w:sz="0" w:space="0" w:color="auto"/>
                <w:left w:val="none" w:sz="0" w:space="0" w:color="auto"/>
                <w:bottom w:val="none" w:sz="0" w:space="0" w:color="auto"/>
                <w:right w:val="none" w:sz="0" w:space="0" w:color="auto"/>
              </w:divBdr>
            </w:div>
          </w:divsChild>
        </w:div>
        <w:div w:id="571621330">
          <w:marLeft w:val="150"/>
          <w:marRight w:val="0"/>
          <w:marTop w:val="150"/>
          <w:marBottom w:val="300"/>
          <w:divBdr>
            <w:top w:val="none" w:sz="0" w:space="0" w:color="auto"/>
            <w:left w:val="none" w:sz="0" w:space="0" w:color="auto"/>
            <w:bottom w:val="none" w:sz="0" w:space="0" w:color="auto"/>
            <w:right w:val="none" w:sz="0" w:space="0" w:color="auto"/>
          </w:divBdr>
          <w:divsChild>
            <w:div w:id="1726441617">
              <w:marLeft w:val="1650"/>
              <w:marRight w:val="0"/>
              <w:marTop w:val="0"/>
              <w:marBottom w:val="0"/>
              <w:divBdr>
                <w:top w:val="none" w:sz="0" w:space="0" w:color="auto"/>
                <w:left w:val="none" w:sz="0" w:space="0" w:color="auto"/>
                <w:bottom w:val="none" w:sz="0" w:space="0" w:color="auto"/>
                <w:right w:val="none" w:sz="0" w:space="0" w:color="auto"/>
              </w:divBdr>
            </w:div>
          </w:divsChild>
        </w:div>
        <w:div w:id="2124182846">
          <w:marLeft w:val="150"/>
          <w:marRight w:val="0"/>
          <w:marTop w:val="150"/>
          <w:marBottom w:val="300"/>
          <w:divBdr>
            <w:top w:val="none" w:sz="0" w:space="0" w:color="auto"/>
            <w:left w:val="none" w:sz="0" w:space="0" w:color="auto"/>
            <w:bottom w:val="none" w:sz="0" w:space="0" w:color="auto"/>
            <w:right w:val="none" w:sz="0" w:space="0" w:color="auto"/>
          </w:divBdr>
          <w:divsChild>
            <w:div w:id="57292817">
              <w:marLeft w:val="1650"/>
              <w:marRight w:val="0"/>
              <w:marTop w:val="0"/>
              <w:marBottom w:val="0"/>
              <w:divBdr>
                <w:top w:val="none" w:sz="0" w:space="0" w:color="auto"/>
                <w:left w:val="none" w:sz="0" w:space="0" w:color="auto"/>
                <w:bottom w:val="none" w:sz="0" w:space="0" w:color="auto"/>
                <w:right w:val="none" w:sz="0" w:space="0" w:color="auto"/>
              </w:divBdr>
            </w:div>
          </w:divsChild>
        </w:div>
        <w:div w:id="192770614">
          <w:marLeft w:val="150"/>
          <w:marRight w:val="0"/>
          <w:marTop w:val="150"/>
          <w:marBottom w:val="300"/>
          <w:divBdr>
            <w:top w:val="none" w:sz="0" w:space="0" w:color="auto"/>
            <w:left w:val="none" w:sz="0" w:space="0" w:color="auto"/>
            <w:bottom w:val="none" w:sz="0" w:space="0" w:color="auto"/>
            <w:right w:val="none" w:sz="0" w:space="0" w:color="auto"/>
          </w:divBdr>
          <w:divsChild>
            <w:div w:id="2124491989">
              <w:marLeft w:val="1650"/>
              <w:marRight w:val="0"/>
              <w:marTop w:val="0"/>
              <w:marBottom w:val="0"/>
              <w:divBdr>
                <w:top w:val="none" w:sz="0" w:space="0" w:color="auto"/>
                <w:left w:val="none" w:sz="0" w:space="0" w:color="auto"/>
                <w:bottom w:val="none" w:sz="0" w:space="0" w:color="auto"/>
                <w:right w:val="none" w:sz="0" w:space="0" w:color="auto"/>
              </w:divBdr>
            </w:div>
          </w:divsChild>
        </w:div>
        <w:div w:id="1582328862">
          <w:marLeft w:val="150"/>
          <w:marRight w:val="0"/>
          <w:marTop w:val="150"/>
          <w:marBottom w:val="300"/>
          <w:divBdr>
            <w:top w:val="none" w:sz="0" w:space="0" w:color="auto"/>
            <w:left w:val="none" w:sz="0" w:space="0" w:color="auto"/>
            <w:bottom w:val="none" w:sz="0" w:space="0" w:color="auto"/>
            <w:right w:val="none" w:sz="0" w:space="0" w:color="auto"/>
          </w:divBdr>
          <w:divsChild>
            <w:div w:id="472068932">
              <w:marLeft w:val="1650"/>
              <w:marRight w:val="0"/>
              <w:marTop w:val="0"/>
              <w:marBottom w:val="0"/>
              <w:divBdr>
                <w:top w:val="none" w:sz="0" w:space="0" w:color="auto"/>
                <w:left w:val="none" w:sz="0" w:space="0" w:color="auto"/>
                <w:bottom w:val="none" w:sz="0" w:space="0" w:color="auto"/>
                <w:right w:val="none" w:sz="0" w:space="0" w:color="auto"/>
              </w:divBdr>
            </w:div>
          </w:divsChild>
        </w:div>
      </w:divsChild>
    </w:div>
    <w:div w:id="213451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1CE6E-6D52-4560-959C-EFA768531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5</Pages>
  <Words>901</Words>
  <Characters>4959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MAR NAVARRO RAMIREZ</dc:creator>
  <cp:lastModifiedBy>JESUS</cp:lastModifiedBy>
  <cp:revision>33</cp:revision>
  <cp:lastPrinted>2016-12-02T09:15:00Z</cp:lastPrinted>
  <dcterms:created xsi:type="dcterms:W3CDTF">2016-10-19T12:25:00Z</dcterms:created>
  <dcterms:modified xsi:type="dcterms:W3CDTF">2016-12-02T11:04:00Z</dcterms:modified>
</cp:coreProperties>
</file>